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spacing w:line="7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市审计局政府信息公开申请表（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snapToGrid w:val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市审计局政府信息公开申请表（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2DAA24F8"/>
    <w:rsid w:val="604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648</Words>
  <Characters>648</Characters>
  <Lines>6</Lines>
  <Paragraphs>1</Paragraphs>
  <TotalTime>1</TotalTime>
  <ScaleCrop>false</ScaleCrop>
  <LinksUpToDate>false</LinksUpToDate>
  <CharactersWithSpaces>800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Administrator</cp:lastModifiedBy>
  <dcterms:modified xsi:type="dcterms:W3CDTF">2022-04-20T08:59:22Z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B281E3FA1DA44768B8C923D8D5EDC564</vt:lpwstr>
  </property>
</Properties>
</file>