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 w:val="0"/>
          <w:bCs w:val="0"/>
          <w:w w:val="98"/>
          <w:sz w:val="32"/>
          <w:szCs w:val="32"/>
          <w:highlight w:val="none"/>
          <w:shd w:val="clear" w:color="auto" w:fill="FFFFFF"/>
          <w:lang w:val="en-US" w:eastAsia="zh-CN"/>
        </w:rPr>
      </w:pPr>
      <w:r>
        <w:rPr>
          <w:rFonts w:hint="eastAsia" w:ascii="黑体" w:hAnsi="黑体" w:eastAsia="黑体" w:cs="黑体"/>
          <w:b w:val="0"/>
          <w:bCs w:val="0"/>
          <w:w w:val="98"/>
          <w:sz w:val="32"/>
          <w:szCs w:val="32"/>
          <w:highlight w:val="none"/>
          <w:shd w:val="clear" w:color="auto" w:fill="FFFFFF"/>
          <w:lang w:val="en-US" w:eastAsia="zh-CN"/>
        </w:rPr>
        <w:t>附件2</w:t>
      </w:r>
    </w:p>
    <w:p>
      <w:pPr>
        <w:pStyle w:val="3"/>
        <w:numPr>
          <w:ilvl w:val="0"/>
          <w:numId w:val="0"/>
        </w:numPr>
        <w:ind w:left="960" w:leftChars="0"/>
        <w:rPr>
          <w:rFonts w:hint="default"/>
          <w:lang w:val="en-US" w:eastAsia="zh-CN"/>
        </w:rPr>
      </w:pPr>
    </w:p>
    <w:p>
      <w:pPr>
        <w:spacing w:line="600" w:lineRule="exact"/>
        <w:jc w:val="center"/>
        <w:rPr>
          <w:rFonts w:hint="eastAsia"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广东省知识产权公共服务体系建设（江门市开平市推进综合性知识产权公共服务机构</w:t>
      </w:r>
    </w:p>
    <w:p>
      <w:pPr>
        <w:spacing w:line="600" w:lineRule="exact"/>
        <w:jc w:val="center"/>
        <w:rPr>
          <w:rFonts w:hint="default"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建设）项目申报指南</w:t>
      </w:r>
    </w:p>
    <w:p>
      <w:pPr>
        <w:spacing w:line="560" w:lineRule="exact"/>
        <w:rPr>
          <w:rFonts w:hint="eastAsia" w:cs="仿宋_GB2312"/>
          <w:szCs w:val="32"/>
          <w:highlight w:val="none"/>
        </w:rPr>
      </w:pPr>
    </w:p>
    <w:p>
      <w:pPr>
        <w:widowControl w:val="0"/>
        <w:numPr>
          <w:ilvl w:val="0"/>
          <w:numId w:val="0"/>
        </w:numPr>
        <w:tabs>
          <w:tab w:val="left" w:pos="0"/>
        </w:tabs>
        <w:wordWrap w:val="0"/>
        <w:adjustRightInd w:val="0"/>
        <w:snapToGrid w:val="0"/>
        <w:spacing w:beforeAutospacing="0" w:afterAutospacing="0" w:line="580" w:lineRule="exact"/>
        <w:ind w:firstLine="616" w:firstLineChars="200"/>
        <w:jc w:val="both"/>
        <w:rPr>
          <w:rFonts w:ascii="Times New Roman" w:hAnsi="Times New Roman" w:eastAsia="黑体" w:cs="Times New Roman"/>
          <w:spacing w:val="-6"/>
          <w:kern w:val="0"/>
          <w:sz w:val="32"/>
          <w:szCs w:val="32"/>
          <w:lang w:val="en-US" w:eastAsia="zh-CN" w:bidi="ar-SA"/>
        </w:rPr>
      </w:pPr>
      <w:r>
        <w:rPr>
          <w:rFonts w:hint="eastAsia" w:ascii="Times New Roman" w:hAnsi="Times New Roman" w:eastAsia="黑体" w:cs="Times New Roman"/>
          <w:spacing w:val="-6"/>
          <w:kern w:val="0"/>
          <w:sz w:val="32"/>
          <w:szCs w:val="32"/>
          <w:lang w:val="en-US" w:eastAsia="zh-CN" w:bidi="ar-SA"/>
        </w:rPr>
        <w:t>一、</w:t>
      </w:r>
      <w:r>
        <w:rPr>
          <w:rFonts w:ascii="Times New Roman" w:hAnsi="Times New Roman" w:eastAsia="黑体" w:cs="Times New Roman"/>
          <w:spacing w:val="-6"/>
          <w:kern w:val="0"/>
          <w:sz w:val="32"/>
          <w:szCs w:val="32"/>
          <w:lang w:val="en-US" w:eastAsia="zh-CN" w:bidi="ar-SA"/>
        </w:rPr>
        <w:t>项目名称</w:t>
      </w:r>
    </w:p>
    <w:p>
      <w:pPr>
        <w:pStyle w:val="7"/>
        <w:wordWrap w:val="0"/>
        <w:spacing w:before="0" w:beforeAutospacing="0" w:after="0" w:afterAutospacing="0" w:line="560" w:lineRule="exact"/>
        <w:ind w:firstLine="620"/>
        <w:jc w:val="both"/>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2026年广东省知识产权公共服务体系建设（江门市开平市推进综合性知识产权公共服务机构建设）项目</w:t>
      </w:r>
    </w:p>
    <w:p>
      <w:pPr>
        <w:pStyle w:val="7"/>
        <w:wordWrap w:val="0"/>
        <w:spacing w:before="0" w:beforeAutospacing="0" w:after="0" w:afterAutospacing="0" w:line="560" w:lineRule="exact"/>
        <w:ind w:firstLine="620"/>
        <w:jc w:val="both"/>
        <w:rPr>
          <w:rFonts w:eastAsia="黑体"/>
          <w:color w:val="000000"/>
          <w:sz w:val="32"/>
          <w:szCs w:val="32"/>
          <w:highlight w:val="none"/>
        </w:rPr>
      </w:pPr>
      <w:r>
        <w:rPr>
          <w:rFonts w:hint="eastAsia" w:eastAsia="黑体"/>
          <w:color w:val="000000"/>
          <w:sz w:val="32"/>
          <w:szCs w:val="32"/>
          <w:highlight w:val="none"/>
          <w:lang w:val="en-US" w:eastAsia="zh-CN"/>
        </w:rPr>
        <w:t>二</w:t>
      </w:r>
      <w:r>
        <w:rPr>
          <w:rFonts w:eastAsia="黑体"/>
          <w:color w:val="000000"/>
          <w:sz w:val="32"/>
          <w:szCs w:val="32"/>
          <w:highlight w:val="none"/>
        </w:rPr>
        <w:t>、工作目标</w:t>
      </w:r>
    </w:p>
    <w:p>
      <w:pPr>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1.强化广东省综合性知识产权公共服务机构建设，提升开平市知识产权公共服务网点能力，构建便民利民的知识产权公共服务体系。</w:t>
      </w:r>
    </w:p>
    <w:p>
      <w:pPr>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2.广东省开展知识产权公共服务惠企行动，面向开平市创新主体提供低成本、普惠性的知识产权公共服务，促进企业高价值专利培育运用。</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三、项目任务</w:t>
      </w:r>
    </w:p>
    <w:p>
      <w:pPr>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default"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US" w:eastAsia="zh-CN"/>
        </w:rPr>
        <w:t>组织开展不少于1场知识产权信息公益培训，每场参训人数不少于30人。组织开展知识产权宣传进企业、进校园、进社区、进商场等活动不少于2场次。</w:t>
      </w:r>
    </w:p>
    <w:p>
      <w:pPr>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default" w:ascii="仿宋_GB2312" w:hAnsi="仿宋_GB2312" w:eastAsia="仿宋_GB2312" w:cs="仿宋_GB2312"/>
          <w:spacing w:val="-6"/>
          <w:sz w:val="32"/>
          <w:szCs w:val="32"/>
          <w:lang w:val="en-US" w:eastAsia="zh-CN"/>
        </w:rPr>
        <w:t>2.</w:t>
      </w:r>
      <w:r>
        <w:rPr>
          <w:rFonts w:hint="eastAsia" w:ascii="仿宋_GB2312" w:hAnsi="仿宋_GB2312" w:eastAsia="仿宋_GB2312" w:cs="仿宋_GB2312"/>
          <w:sz w:val="32"/>
          <w:szCs w:val="32"/>
          <w:highlight w:val="none"/>
        </w:rPr>
        <w:t>全省各级各类知识产权公共服务机构能力显著提升，根据国家和省工作部署、结合自身实际，</w:t>
      </w:r>
      <w:r>
        <w:rPr>
          <w:rFonts w:hint="eastAsia" w:ascii="仿宋_GB2312" w:hAnsi="仿宋_GB2312" w:eastAsia="仿宋_GB2312" w:cs="仿宋_GB2312"/>
          <w:sz w:val="32"/>
          <w:szCs w:val="32"/>
          <w:highlight w:val="none"/>
          <w:lang w:eastAsia="zh-CN"/>
        </w:rPr>
        <w:t>为社会公众或创新主体提供至少</w:t>
      </w:r>
      <w:r>
        <w:rPr>
          <w:rFonts w:hint="eastAsia" w:ascii="仿宋_GB2312" w:hAnsi="仿宋_GB2312" w:eastAsia="仿宋_GB2312" w:cs="仿宋_GB2312"/>
          <w:sz w:val="32"/>
          <w:szCs w:val="32"/>
          <w:highlight w:val="none"/>
          <w:lang w:val="en-US" w:eastAsia="zh-CN"/>
        </w:rPr>
        <w:t>20次知识产权公益服务</w:t>
      </w:r>
      <w:bookmarkStart w:id="0" w:name="_GoBack"/>
      <w:bookmarkEnd w:id="0"/>
      <w:r>
        <w:rPr>
          <w:rFonts w:hint="eastAsia" w:ascii="仿宋_GB2312" w:hAnsi="仿宋_GB2312" w:eastAsia="仿宋_GB2312" w:cs="仿宋_GB2312"/>
          <w:spacing w:val="-6"/>
          <w:sz w:val="32"/>
          <w:szCs w:val="32"/>
          <w:lang w:val="en-US" w:eastAsia="zh-CN"/>
        </w:rPr>
        <w:t>。</w:t>
      </w:r>
    </w:p>
    <w:p>
      <w:pPr>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default"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val="en-US" w:eastAsia="zh-CN"/>
        </w:rPr>
        <w:t>推动我省创新型企业健全知识产权制度，提升掌握核心专利能力，对不少于20件专利完成信息检索分析。</w:t>
      </w:r>
    </w:p>
    <w:p>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.加大粤港澳知识产权大数据综合服务平台</w:t>
      </w:r>
      <w:r>
        <w:rPr>
          <w:rFonts w:hint="eastAsia" w:ascii="仿宋_GB2312" w:hAnsi="仿宋_GB2312" w:eastAsia="仿宋_GB2312" w:cs="仿宋_GB2312"/>
          <w:sz w:val="32"/>
          <w:szCs w:val="32"/>
          <w:highlight w:val="none"/>
          <w:lang w:eastAsia="zh-CN"/>
        </w:rPr>
        <w:t>、江门市知识产权公共服务平台</w:t>
      </w:r>
      <w:r>
        <w:rPr>
          <w:rFonts w:hint="eastAsia" w:ascii="仿宋_GB2312" w:hAnsi="仿宋_GB2312" w:eastAsia="仿宋_GB2312" w:cs="仿宋_GB2312"/>
          <w:sz w:val="32"/>
          <w:szCs w:val="32"/>
          <w:highlight w:val="none"/>
        </w:rPr>
        <w:t>推广应用宣传力度，全省创新主体知识产权信息获取和利用能力有效提升，知识产权信息公共服务网站访问量稳步提高</w:t>
      </w:r>
      <w:r>
        <w:rPr>
          <w:rFonts w:hint="eastAsia" w:ascii="仿宋_GB2312" w:hAnsi="仿宋_GB2312" w:eastAsia="仿宋_GB2312" w:cs="仿宋_GB2312"/>
          <w:sz w:val="32"/>
          <w:szCs w:val="32"/>
          <w:highlight w:val="none"/>
          <w:lang w:eastAsia="zh-CN"/>
        </w:rPr>
        <w:t>。</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5.辅助企业开展知识产权质押融资工作，2026年内完成不少于5笔知识产权质押融资业务。</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四、项目数量及实施周期</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本项目计划立项</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每项不超过</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项目实施周期至202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年1</w:t>
      </w:r>
      <w:r>
        <w:rPr>
          <w:rFonts w:ascii="仿宋" w:hAnsi="仿宋" w:eastAsia="仿宋" w:cs="仿宋"/>
          <w:sz w:val="32"/>
          <w:szCs w:val="32"/>
          <w:highlight w:val="none"/>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日结束。</w:t>
      </w:r>
    </w:p>
    <w:p>
      <w:pPr>
        <w:autoSpaceDE w:val="0"/>
        <w:autoSpaceDN w:val="0"/>
        <w:adjustRightInd w:val="0"/>
        <w:snapToGrid w:val="0"/>
        <w:spacing w:line="580" w:lineRule="exact"/>
        <w:ind w:firstLine="616" w:firstLineChars="200"/>
        <w:rPr>
          <w:rFonts w:ascii="Times New Roman" w:hAnsi="Times New Roman" w:eastAsia="黑体" w:cs="Times New Roman"/>
          <w:spacing w:val="-6"/>
          <w:sz w:val="32"/>
          <w:szCs w:val="32"/>
        </w:rPr>
      </w:pPr>
      <w:r>
        <w:rPr>
          <w:rFonts w:hint="eastAsia" w:eastAsia="黑体" w:cs="Times New Roman"/>
          <w:spacing w:val="-6"/>
          <w:sz w:val="32"/>
          <w:szCs w:val="32"/>
          <w:lang w:eastAsia="zh-CN"/>
        </w:rPr>
        <w:t>五</w:t>
      </w:r>
      <w:r>
        <w:rPr>
          <w:rFonts w:ascii="Times New Roman" w:hAnsi="Times New Roman" w:eastAsia="黑体" w:cs="Times New Roman"/>
          <w:spacing w:val="-6"/>
          <w:sz w:val="32"/>
          <w:szCs w:val="32"/>
        </w:rPr>
        <w:t>、项目申报主体及条件</w:t>
      </w:r>
    </w:p>
    <w:p>
      <w:p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法注册登记，具有独立法人资格的各类技术创新中心、产学研基地、制造业集聚园区重点产业园区；省内高等院校、科研机构、医疗机构、重点实验室等；专利密集型产品培育推广潜力较强的企业等创新主体；各类技术转移转化中心或平台、知识产权服务机构、相关产业领域行业组织等。</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Times New Roman" w:hAnsi="Times New Roman" w:eastAsia="仿宋_GB2312" w:cs="黑体"/>
          <w:b w:val="0"/>
          <w:bCs w:val="0"/>
          <w:kern w:val="0"/>
          <w:sz w:val="32"/>
          <w:szCs w:val="32"/>
          <w:lang w:val="en-US" w:eastAsia="zh-CN" w:bidi="ar-SA"/>
        </w:rPr>
        <w:t>广东省知识产权公共服务体系建设（江门市开平市推进综合性知识产权公共服务机构建设）项目</w:t>
      </w:r>
      <w:r>
        <w:rPr>
          <w:rFonts w:hint="eastAsia" w:ascii="仿宋_GB2312" w:hAnsi="仿宋_GB2312" w:eastAsia="仿宋_GB2312" w:cs="仿宋_GB2312"/>
          <w:spacing w:val="-6"/>
          <w:sz w:val="32"/>
          <w:szCs w:val="32"/>
          <w:lang w:eastAsia="zh-CN"/>
        </w:rPr>
        <w:t>申报书</w:t>
      </w:r>
      <w:r>
        <w:rPr>
          <w:rFonts w:hint="eastAsia" w:ascii="仿宋_GB2312" w:hAnsi="仿宋_GB2312" w:eastAsia="仿宋_GB2312" w:cs="仿宋_GB2312"/>
          <w:spacing w:val="-6"/>
          <w:sz w:val="32"/>
          <w:szCs w:val="32"/>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（六）其他证明符合申报条件的材料等。</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上述材料均需加盖公章</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hint="eastAsia" w:eastAsia="黑体" w:cs="Times New Roman"/>
          <w:sz w:val="32"/>
          <w:szCs w:val="32"/>
          <w:lang w:eastAsia="zh-CN"/>
        </w:rPr>
        <w:t>七</w:t>
      </w:r>
      <w:r>
        <w:rPr>
          <w:rFonts w:ascii="Times New Roman" w:hAnsi="Times New Roman" w:eastAsia="黑体" w:cs="Times New Roman"/>
          <w:sz w:val="32"/>
          <w:szCs w:val="32"/>
        </w:rPr>
        <w:t>、其他事项</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月起至202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月止</w:t>
      </w:r>
      <w:r>
        <w:rPr>
          <w:rFonts w:hint="eastAsia" w:ascii="仿宋_GB2312" w:hAnsi="仿宋_GB2312" w:eastAsia="仿宋_GB2312" w:cs="仿宋_GB2312"/>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（三）合同管理：项目立项后，</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市场监管局与承担单位签署项目合同书，作为项目管理的重要依据。</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（四）项目检查验收：</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市场监管局报送工作成果，由</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市场监管局组织验收，验收通过后，方可结项。</w:t>
      </w: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17"/>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7"/>
          <w:sz w:val="32"/>
          <w:szCs w:val="32"/>
        </w:rPr>
        <w:t>联系人：</w:t>
      </w:r>
      <w:r>
        <w:rPr>
          <w:rFonts w:hint="eastAsia" w:ascii="仿宋_GB2312" w:hAnsi="仿宋_GB2312" w:eastAsia="仿宋_GB2312" w:cs="仿宋_GB2312"/>
          <w:spacing w:val="-17"/>
          <w:sz w:val="32"/>
          <w:szCs w:val="32"/>
          <w:lang w:eastAsia="zh-CN"/>
        </w:rPr>
        <w:t>马小姐</w:t>
      </w:r>
      <w:r>
        <w:rPr>
          <w:rFonts w:hint="eastAsia" w:ascii="仿宋_GB2312" w:hAnsi="仿宋_GB2312" w:eastAsia="仿宋_GB2312" w:cs="仿宋_GB2312"/>
          <w:spacing w:val="-17"/>
          <w:sz w:val="32"/>
          <w:szCs w:val="32"/>
        </w:rPr>
        <w:t>，电话：</w:t>
      </w:r>
      <w:r>
        <w:rPr>
          <w:rFonts w:hint="eastAsia" w:ascii="仿宋_GB2312" w:hAnsi="仿宋_GB2312" w:eastAsia="仿宋_GB2312" w:cs="仿宋_GB2312"/>
          <w:spacing w:val="-17"/>
          <w:sz w:val="32"/>
          <w:szCs w:val="32"/>
          <w:lang w:val="en-US" w:eastAsia="zh-CN"/>
        </w:rPr>
        <w:t>0750-2250168</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6"/>
          <w:sz w:val="32"/>
          <w:szCs w:val="32"/>
        </w:rPr>
        <w:t>地址：</w:t>
      </w:r>
      <w:r>
        <w:rPr>
          <w:rFonts w:hint="eastAsia" w:ascii="仿宋_GB2312" w:hAnsi="仿宋_GB2312" w:eastAsia="仿宋_GB2312" w:cs="仿宋_GB2312"/>
          <w:spacing w:val="-6"/>
          <w:sz w:val="32"/>
          <w:szCs w:val="32"/>
          <w:lang w:eastAsia="zh-CN"/>
        </w:rPr>
        <w:t>开平市长沙街道人和东路</w:t>
      </w:r>
      <w:r>
        <w:rPr>
          <w:rFonts w:hint="eastAsia" w:ascii="仿宋_GB2312" w:hAnsi="仿宋_GB2312" w:eastAsia="仿宋_GB2312" w:cs="仿宋_GB2312"/>
          <w:spacing w:val="-6"/>
          <w:sz w:val="32"/>
          <w:szCs w:val="32"/>
          <w:lang w:val="en-US" w:eastAsia="zh-CN"/>
        </w:rPr>
        <w:t>5号开平市市场监督管理局</w:t>
      </w:r>
      <w:r>
        <w:rPr>
          <w:rFonts w:hint="eastAsia" w:ascii="仿宋_GB2312" w:hAnsi="仿宋_GB2312" w:eastAsia="仿宋_GB2312" w:cs="仿宋_GB2312"/>
          <w:spacing w:val="-6"/>
          <w:sz w:val="32"/>
          <w:szCs w:val="32"/>
        </w:rPr>
        <w:t>。</w:t>
      </w:r>
    </w:p>
    <w:p>
      <w:pPr>
        <w:autoSpaceDE w:val="0"/>
        <w:autoSpaceDN w:val="0"/>
        <w:adjustRightInd w:val="0"/>
        <w:snapToGrid w:val="0"/>
        <w:spacing w:line="580" w:lineRule="exact"/>
        <w:ind w:left="1522" w:leftChars="285" w:hanging="924" w:hangingChars="300"/>
        <w:rPr>
          <w:rFonts w:hint="eastAsia" w:ascii="仿宋_GB2312" w:hAnsi="仿宋_GB2312" w:eastAsia="仿宋_GB2312" w:cs="仿宋_GB2312"/>
          <w:spacing w:val="-6"/>
          <w:sz w:val="32"/>
          <w:szCs w:val="32"/>
        </w:rPr>
      </w:pP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Times New Roman" w:hAnsi="Times New Roman" w:eastAsia="仿宋_GB2312" w:cs="黑体"/>
          <w:b w:val="0"/>
          <w:bCs w:val="0"/>
          <w:kern w:val="0"/>
          <w:sz w:val="32"/>
          <w:szCs w:val="32"/>
          <w:lang w:val="en-US" w:eastAsia="zh-CN" w:bidi="ar-SA"/>
        </w:rPr>
        <w:t>广东省知识产权公共服务体系建设（江门市开平市推进综合性知识产权公共服务机构建设）项目</w:t>
      </w:r>
      <w:r>
        <w:rPr>
          <w:rFonts w:hint="eastAsia" w:ascii="仿宋_GB2312" w:hAnsi="仿宋_GB2312" w:eastAsia="仿宋_GB2312" w:cs="仿宋_GB2312"/>
          <w:kern w:val="0"/>
          <w:sz w:val="32"/>
          <w:szCs w:val="32"/>
          <w:lang w:eastAsia="zh-CN"/>
        </w:rPr>
        <w:t>申报书</w:t>
      </w:r>
    </w:p>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r>
        <w:rPr>
          <w:rFonts w:hint="eastAsia" w:ascii="方正小标宋简体" w:hAnsi="方正小标宋简体" w:eastAsia="方正小标宋简体" w:cs="方正小标宋简体"/>
          <w:kern w:val="44"/>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w:t>
      </w:r>
      <w:r>
        <w:rPr>
          <w:rFonts w:hint="eastAsia" w:ascii="方正小标宋简体" w:hAnsi="方正小标宋简体" w:eastAsia="方正小标宋简体" w:cs="方正小标宋简体"/>
          <w:kern w:val="44"/>
          <w:sz w:val="44"/>
          <w:shd w:val="clear" w:color="auto" w:fill="FFFFFF"/>
          <w:lang w:val="en-US" w:eastAsia="zh-CN"/>
        </w:rPr>
        <w:t>6</w:t>
      </w:r>
      <w:r>
        <w:rPr>
          <w:rFonts w:hint="eastAsia" w:ascii="方正小标宋简体" w:hAnsi="方正小标宋简体" w:eastAsia="方正小标宋简体" w:cs="方正小标宋简体"/>
          <w:kern w:val="44"/>
          <w:sz w:val="44"/>
          <w:shd w:val="clear" w:color="auto" w:fill="FFFFFF"/>
        </w:rPr>
        <w:t>年</w:t>
      </w:r>
      <w:r>
        <w:rPr>
          <w:rFonts w:hint="eastAsia" w:ascii="方正小标宋简体" w:hAnsi="方正小标宋简体" w:eastAsia="方正小标宋简体" w:cs="方正小标宋简体"/>
          <w:kern w:val="44"/>
          <w:sz w:val="44"/>
          <w:shd w:val="clear" w:color="auto" w:fill="FFFFFF"/>
          <w:lang w:val="en-US" w:eastAsia="zh-CN"/>
        </w:rPr>
        <w:t>广东省知识产权公共服务体系建设（江门市开平市推进综合性知识产权公共服务机构建设）项目</w:t>
      </w:r>
      <w:r>
        <w:rPr>
          <w:rFonts w:hint="eastAsia" w:ascii="方正小标宋简体" w:hAnsi="方正小标宋简体" w:eastAsia="方正小标宋简体" w:cs="方正小标宋简体"/>
          <w:kern w:val="44"/>
          <w:sz w:val="44"/>
          <w:shd w:val="clear" w:color="auto" w:fill="FFFFFF"/>
        </w:rPr>
        <w:t>申报书</w:t>
      </w:r>
    </w:p>
    <w:p>
      <w:pPr>
        <w:pStyle w:val="3"/>
        <w:numPr>
          <w:ilvl w:val="0"/>
          <w:numId w:val="0"/>
        </w:numPr>
        <w:ind w:leftChars="0"/>
      </w:pPr>
    </w:p>
    <w:p>
      <w:pPr>
        <w:rPr>
          <w:rFonts w:ascii="Times New Roman" w:hAnsi="Times New Roman" w:eastAsia="仿宋_GB2312" w:cs="Times New Roman"/>
          <w:sz w:val="32"/>
          <w:szCs w:val="32"/>
        </w:rPr>
      </w:pPr>
    </w:p>
    <w:tbl>
      <w:tblPr>
        <w:tblStyle w:val="8"/>
        <w:tblW w:w="0" w:type="auto"/>
        <w:jc w:val="center"/>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hint="eastAsia" w:ascii="Times New Roman" w:hAnsi="Times New Roman" w:cs="Times New Roman" w:eastAsiaTheme="minorEastAsia"/>
                <w:sz w:val="32"/>
                <w:szCs w:val="32"/>
                <w:u w:val="single"/>
                <w:lang w:eastAsia="zh-CN"/>
              </w:rPr>
            </w:pPr>
          </w:p>
        </w:tc>
      </w:tr>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cs="Times New Roman"/>
                <w:sz w:val="32"/>
                <w:szCs w:val="32"/>
                <w:u w:val="single"/>
              </w:rPr>
              <w:t>（签章）</w:t>
            </w:r>
          </w:p>
        </w:tc>
      </w:tr>
      <w:tr>
        <w:tblPrEx>
          <w:tblCellMar>
            <w:top w:w="0" w:type="dxa"/>
            <w:left w:w="108" w:type="dxa"/>
            <w:bottom w:w="0" w:type="dxa"/>
            <w:right w:w="108" w:type="dxa"/>
          </w:tblCellMar>
        </w:tblPrEx>
        <w:trPr>
          <w:trHeight w:val="660" w:hRule="atLeast"/>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bl>
    <w:p>
      <w:pPr>
        <w:jc w:val="both"/>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方正楷体_GB2312" w:cs="Times New Roman"/>
          <w:bCs/>
          <w:sz w:val="32"/>
          <w:szCs w:val="32"/>
        </w:rPr>
      </w:pPr>
    </w:p>
    <w:p>
      <w:pPr>
        <w:spacing w:line="600" w:lineRule="exact"/>
        <w:jc w:val="center"/>
        <w:rPr>
          <w:rFonts w:ascii="Times New Roman" w:hAnsi="Times New Roman" w:eastAsia="方正楷体_GB2312" w:cs="Times New Roman"/>
          <w:bCs/>
          <w:sz w:val="32"/>
          <w:szCs w:val="32"/>
        </w:rPr>
      </w:pPr>
      <w:r>
        <w:rPr>
          <w:rFonts w:hint="eastAsia" w:ascii="Times New Roman" w:hAnsi="Times New Roman" w:eastAsia="方正楷体_GB2312" w:cs="Times New Roman"/>
          <w:bCs/>
          <w:sz w:val="32"/>
          <w:szCs w:val="32"/>
          <w:lang w:eastAsia="zh-CN"/>
        </w:rPr>
        <w:t>开平市</w:t>
      </w:r>
      <w:r>
        <w:rPr>
          <w:rFonts w:ascii="Times New Roman" w:hAnsi="Times New Roman" w:eastAsia="方正楷体_GB2312" w:cs="Times New Roman"/>
          <w:bCs/>
          <w:sz w:val="32"/>
          <w:szCs w:val="32"/>
        </w:rPr>
        <w:t>市场监督管理局（知识产权局）编制</w:t>
      </w:r>
    </w:p>
    <w:p>
      <w:pPr>
        <w:spacing w:line="600" w:lineRule="exact"/>
        <w:jc w:val="center"/>
        <w:rPr>
          <w:rFonts w:ascii="Times New Roman" w:hAnsi="Times New Roman" w:eastAsia="方正楷体_GB2312" w:cs="Times New Roman"/>
          <w:bCs/>
          <w:sz w:val="32"/>
          <w:szCs w:val="32"/>
        </w:rPr>
      </w:pPr>
      <w:r>
        <w:rPr>
          <w:rFonts w:ascii="Times New Roman" w:hAnsi="Times New Roman" w:eastAsia="方正楷体_GB2312" w:cs="Times New Roman"/>
          <w:bCs/>
          <w:sz w:val="32"/>
          <w:szCs w:val="32"/>
        </w:rPr>
        <w:t>202</w:t>
      </w:r>
      <w:r>
        <w:rPr>
          <w:rFonts w:hint="eastAsia" w:ascii="Times New Roman" w:hAnsi="Times New Roman" w:eastAsia="方正楷体_GB2312" w:cs="Times New Roman"/>
          <w:bCs/>
          <w:sz w:val="32"/>
          <w:szCs w:val="32"/>
          <w:lang w:val="en-US" w:eastAsia="zh-CN"/>
        </w:rPr>
        <w:t>6</w:t>
      </w:r>
      <w:r>
        <w:rPr>
          <w:rFonts w:ascii="Times New Roman" w:hAnsi="Times New Roman" w:eastAsia="方正楷体_GB2312" w:cs="Times New Roman"/>
          <w:bCs/>
          <w:sz w:val="32"/>
          <w:szCs w:val="32"/>
        </w:rPr>
        <w:t>年</w:t>
      </w:r>
    </w:p>
    <w:p>
      <w:pPr>
        <w:spacing w:line="660" w:lineRule="exact"/>
        <w:jc w:val="both"/>
        <w:rPr>
          <w:rFonts w:ascii="Times New Roman" w:hAnsi="Times New Roman" w:eastAsia="方正小标宋简体" w:cs="Times New Roman"/>
          <w:sz w:val="44"/>
          <w:szCs w:val="44"/>
        </w:rPr>
      </w:pPr>
    </w:p>
    <w:p>
      <w:pPr>
        <w:spacing w:line="660" w:lineRule="exact"/>
        <w:jc w:val="center"/>
        <w:rPr>
          <w:rFonts w:ascii="Times New Roman" w:hAnsi="Times New Roman" w:eastAsia="方正小标宋简体" w:cs="Times New Roman"/>
          <w:sz w:val="44"/>
          <w:szCs w:val="44"/>
        </w:rPr>
      </w:pPr>
    </w:p>
    <w:p>
      <w:pPr>
        <w:pStyle w:val="2"/>
      </w:pP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rPr>
          <w:rFonts w:ascii="Times New Roman" w:hAnsi="Times New Roman" w:cs="Times New Roman"/>
        </w:rPr>
      </w:pP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一、本申请书适用于202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开平</w:t>
      </w:r>
      <w:r>
        <w:rPr>
          <w:rFonts w:hint="eastAsia" w:ascii="Times New Roman" w:hAnsi="Times New Roman" w:eastAsia="仿宋_GB2312" w:cs="Times New Roman"/>
          <w:sz w:val="32"/>
          <w:szCs w:val="32"/>
        </w:rPr>
        <w:t>市知识产权专项经费的申报工作。</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三、申请书规格为A4纸，各栏不够填写时，请自行加页。申报书宜双面打印，并于左侧装订成册，一式五份（加盖公章）。提交同时，须同时提交电子件（可编辑版word及盖章扫描PDF版）。</w:t>
      </w:r>
    </w:p>
    <w:p>
      <w:pPr>
        <w:spacing w:line="560" w:lineRule="exact"/>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62"/>
        <w:gridCol w:w="2610"/>
        <w:gridCol w:w="730"/>
        <w:gridCol w:w="1279"/>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9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10" w:type="dxa"/>
            <w:noWrap w:val="0"/>
            <w:vAlign w:val="center"/>
          </w:tcPr>
          <w:p>
            <w:pPr>
              <w:spacing w:line="600" w:lineRule="exact"/>
              <w:ind w:left="-71" w:leftChars="-34" w:firstLine="134" w:firstLineChars="42"/>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9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62"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610" w:type="dxa"/>
            <w:noWrap w:val="0"/>
            <w:vAlign w:val="center"/>
          </w:tcPr>
          <w:p>
            <w:pPr>
              <w:spacing w:line="600" w:lineRule="exact"/>
              <w:rPr>
                <w:rFonts w:ascii="Times New Roman" w:hAnsi="Times New Roman" w:eastAsia="仿宋_GB2312" w:cs="Times New Roman"/>
                <w:bCs/>
                <w:sz w:val="32"/>
                <w:szCs w:val="32"/>
              </w:rPr>
            </w:pPr>
          </w:p>
        </w:tc>
        <w:tc>
          <w:tcPr>
            <w:tcW w:w="730"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9"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10" w:type="dxa"/>
            <w:noWrap w:val="0"/>
            <w:vAlign w:val="center"/>
          </w:tcPr>
          <w:p>
            <w:pPr>
              <w:spacing w:line="600" w:lineRule="exact"/>
              <w:rPr>
                <w:rFonts w:ascii="Times New Roman" w:hAnsi="Times New Roman" w:eastAsia="仿宋_GB2312" w:cs="Times New Roman"/>
                <w:bCs/>
                <w:sz w:val="32"/>
                <w:szCs w:val="32"/>
              </w:rPr>
            </w:pPr>
          </w:p>
        </w:tc>
        <w:tc>
          <w:tcPr>
            <w:tcW w:w="730"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Merge w:val="continue"/>
            <w:noWrap w:val="0"/>
            <w:vAlign w:val="center"/>
          </w:tcPr>
          <w:p>
            <w:pPr>
              <w:widowControl/>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4170"/>
        <w:gridCol w:w="32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5" w:hRule="atLeast"/>
          <w:jc w:val="center"/>
        </w:trPr>
        <w:tc>
          <w:tcPr>
            <w:tcW w:w="1980"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417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23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6" w:hRule="atLeast"/>
          <w:jc w:val="center"/>
        </w:trPr>
        <w:tc>
          <w:tcPr>
            <w:tcW w:w="1980" w:type="dxa"/>
            <w:vMerge w:val="continue"/>
            <w:tcBorders>
              <w:left w:val="single" w:color="000000" w:sz="6" w:space="0"/>
              <w:bottom w:val="single" w:color="000000" w:sz="6" w:space="0"/>
              <w:right w:val="single" w:color="000000" w:sz="6" w:space="0"/>
            </w:tcBorders>
            <w:noWrap w:val="0"/>
            <w:vAlign w:val="center"/>
          </w:tcPr>
          <w:p>
            <w:pPr>
              <w:rPr>
                <w:rFonts w:ascii="Times New Roman" w:hAnsi="Times New Roman" w:cs="Times New Roman"/>
              </w:rPr>
            </w:pPr>
          </w:p>
        </w:tc>
        <w:tc>
          <w:tcPr>
            <w:tcW w:w="4170"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ascii="Times New Roman" w:hAnsi="Times New Roman" w:eastAsia="方正楷体_GB2312" w:cs="Times New Roman"/>
                <w:szCs w:val="30"/>
              </w:rPr>
              <w:t>（介绍项目的目标任务、工作内容，推进措施及实施方式等。可另附页，下同。）</w:t>
            </w:r>
          </w:p>
        </w:tc>
        <w:tc>
          <w:tcPr>
            <w:tcW w:w="3231"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ascii="Times New Roman" w:hAnsi="Times New Roman" w:eastAsia="方正楷体_GB2312" w:cs="Times New Roman"/>
                <w:sz w:val="30"/>
                <w:szCs w:val="30"/>
              </w:rPr>
              <w:t>（</w:t>
            </w:r>
            <w:r>
              <w:rPr>
                <w:rFonts w:ascii="Times New Roman" w:hAnsi="Times New Roman" w:eastAsia="方正楷体_GB2312" w:cs="Times New Roman"/>
                <w:szCs w:val="30"/>
              </w:rPr>
              <w:t>按照工作量和支出标准形式，逐个任务做好资金测算</w:t>
            </w:r>
            <w:r>
              <w:rPr>
                <w:rFonts w:hint="eastAsia" w:ascii="Times New Roman" w:hAnsi="Times New Roman" w:eastAsia="方正楷体_GB2312" w:cs="Times New Roman"/>
                <w:szCs w:val="30"/>
              </w:rPr>
              <w:t>，下同</w:t>
            </w:r>
            <w:r>
              <w:rPr>
                <w:rFonts w:ascii="Times New Roman" w:hAnsi="Times New Roman" w:eastAsia="方正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cs="Times New Roman"/>
              </w:rPr>
            </w:pPr>
            <w:r>
              <w:rPr>
                <w:rFonts w:ascii="Times New Roman" w:hAnsi="Times New Roman" w:eastAsia="方正楷体_GB2312" w:cs="Times New Roman"/>
                <w:szCs w:val="30"/>
              </w:rPr>
              <w:t>（介绍申请本项目所具备的工作基础、制度规范，相关经验和优势资源，项目团队、智力支持、信息化设施等相关条件，推进项目顺利实施的保障性举措等。）</w:t>
            </w:r>
          </w:p>
          <w:p>
            <w:pPr>
              <w:rPr>
                <w:rFonts w:ascii="Times New Roman" w:hAnsi="Times New Roman" w:cs="Times New Roman"/>
              </w:rPr>
            </w:pPr>
          </w:p>
          <w:p>
            <w:pPr>
              <w:rPr>
                <w:rFonts w:ascii="Times New Roman" w:hAnsi="Times New Roman" w:cs="Times New Roman"/>
              </w:rPr>
            </w:pPr>
          </w:p>
          <w:p>
            <w:pPr>
              <w:spacing w:line="500" w:lineRule="exact"/>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10"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方正楷体_GB2312" w:cs="Times New Roman"/>
                <w:sz w:val="32"/>
                <w:szCs w:val="32"/>
              </w:rPr>
            </w:pPr>
            <w:r>
              <w:rPr>
                <w:rFonts w:ascii="Times New Roman" w:hAnsi="Times New Roman" w:eastAsia="方正楷体_GB2312" w:cs="Times New Roman"/>
                <w:sz w:val="32"/>
                <w:szCs w:val="32"/>
              </w:rPr>
              <w:t>（工作总体进度时间安排、项目各阶段工作任务与阶段性目标，确保项目按时形成成果、提交项目总结报告。）</w:t>
            </w: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方正楷体_GB2312" w:cs="Times New Roman"/>
                <w:sz w:val="32"/>
                <w:szCs w:val="32"/>
              </w:rPr>
            </w:pPr>
            <w:r>
              <w:rPr>
                <w:rFonts w:ascii="Times New Roman" w:hAnsi="Times New Roman" w:eastAsia="方正楷体_GB2312" w:cs="Times New Roman"/>
                <w:sz w:val="32"/>
                <w:szCs w:val="32"/>
              </w:rPr>
              <w:t>（项目实施的预期成果形式、可考核指标等。）</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bl>
    <w:p>
      <w:pPr>
        <w:ind w:firstLine="640" w:firstLineChars="200"/>
        <w:rPr>
          <w:rFonts w:hint="default" w:ascii="Times New Roman" w:hAnsi="Times New Roman" w:eastAsia="黑体" w:cs="Times New Roman"/>
          <w:sz w:val="32"/>
          <w:szCs w:val="32"/>
        </w:rPr>
      </w:pPr>
    </w:p>
    <w:p>
      <w:pPr>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、单位意见</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3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年月日</w:t>
            </w:r>
          </w:p>
        </w:tc>
      </w:tr>
    </w:tbl>
    <w:p>
      <w:pPr>
        <w:rPr>
          <w:szCs w:val="32"/>
          <w:highlight w:val="none"/>
        </w:rPr>
      </w:pPr>
    </w:p>
    <w:p>
      <w:pPr>
        <w:pStyle w:val="3"/>
        <w:numPr>
          <w:ilvl w:val="0"/>
          <w:numId w:val="0"/>
        </w:numPr>
        <w:ind w:left="960" w:leftChars="0"/>
      </w:pPr>
    </w:p>
    <w:p/>
    <w:p>
      <w:pPr>
        <w:keepNext w:val="0"/>
        <w:keepLines w:val="0"/>
        <w:pageBreakBefore w:val="0"/>
        <w:kinsoku/>
        <w:wordWrap/>
        <w:overflowPunct/>
        <w:topLinePunct w:val="0"/>
        <w:autoSpaceDE w:val="0"/>
        <w:autoSpaceDN w:val="0"/>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lang w:eastAsia="zh-CN"/>
        </w:rPr>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635C6"/>
    <w:rsid w:val="02BA30ED"/>
    <w:rsid w:val="13B35ADE"/>
    <w:rsid w:val="14575AE6"/>
    <w:rsid w:val="184635C6"/>
    <w:rsid w:val="1AE02931"/>
    <w:rsid w:val="37DB4EAA"/>
    <w:rsid w:val="3EB16EFC"/>
    <w:rsid w:val="3FAE27AB"/>
    <w:rsid w:val="56A9284D"/>
    <w:rsid w:val="5A1D0965"/>
    <w:rsid w:val="5FBB620E"/>
    <w:rsid w:val="677B6D9F"/>
    <w:rsid w:val="6C7B83FF"/>
    <w:rsid w:val="79BC7CBE"/>
    <w:rsid w:val="7B3FEA27"/>
    <w:rsid w:val="7B7A0FE9"/>
    <w:rsid w:val="7C260BAE"/>
    <w:rsid w:val="7F37B119"/>
    <w:rsid w:val="97FB132A"/>
    <w:rsid w:val="ADF43671"/>
    <w:rsid w:val="BEF16890"/>
    <w:rsid w:val="DB6E7836"/>
    <w:rsid w:val="DDF2D9B3"/>
    <w:rsid w:val="DE7F3CE8"/>
    <w:rsid w:val="F5339AEF"/>
    <w:rsid w:val="F6D7F3FA"/>
    <w:rsid w:val="FA6A91F3"/>
    <w:rsid w:val="FF5619F3"/>
    <w:rsid w:val="FF9FF600"/>
    <w:rsid w:val="FFFF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firstLine="630"/>
    </w:pPr>
    <w:rPr>
      <w:rFonts w:ascii="黑体" w:hAnsi="黑体" w:eastAsia="黑体"/>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3.公文正文"/>
    <w:basedOn w:val="1"/>
    <w:qFormat/>
    <w:uiPriority w:val="0"/>
    <w:pPr>
      <w:ind w:firstLine="632"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2307</Words>
  <Characters>2377</Characters>
  <Lines>0</Lines>
  <Paragraphs>0</Paragraphs>
  <TotalTime>20</TotalTime>
  <ScaleCrop>false</ScaleCrop>
  <LinksUpToDate>false</LinksUpToDate>
  <CharactersWithSpaces>2379</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2025-07-17T10:14:00Z</dcterms:created>
  <dc:creator>Alucard</dc:creator>
  <cp:lastModifiedBy>{userName}</cp:lastModifiedBy>
  <cp:lastPrinted>2025-07-28T18:36:00Z</cp:lastPrinted>
  <dcterms:modified xsi:type="dcterms:W3CDTF">2025-08-13T09:51:09Z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1EF717FC1F6D40EA872E31F3A2C0DBF6_11</vt:lpwstr>
  </property>
  <property fmtid="{D5CDD505-2E9C-101B-9397-08002B2CF9AE}" pid="4" name="KSOTemplateDocerSaveRecord">
    <vt:lpwstr>eyJoZGlkIjoiNzllMjBiOWM0NDNkZmI1MmVkZDkwN2Q5MDIyMzliN2YiLCJ1c2VySWQiOiIzMDM3MjMzNTgifQ==</vt:lpwstr>
  </property>
</Properties>
</file>