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AA0C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F784916">
      <w:pPr>
        <w:keepNext/>
        <w:keepLines/>
        <w:autoSpaceDE w:val="0"/>
        <w:autoSpaceDN w:val="0"/>
        <w:adjustRightInd w:val="0"/>
        <w:spacing w:line="480" w:lineRule="exact"/>
        <w:jc w:val="center"/>
        <w:textAlignment w:val="baseline"/>
        <w:outlineLvl w:val="1"/>
        <w:rPr>
          <w:rFonts w:hint="eastAsia" w:ascii="宋体" w:hAnsi="宋体"/>
          <w:spacing w:val="20"/>
          <w:kern w:val="44"/>
          <w:sz w:val="44"/>
          <w:szCs w:val="44"/>
        </w:rPr>
      </w:pPr>
      <w:r>
        <w:rPr>
          <w:rFonts w:hint="eastAsia" w:ascii="宋体" w:hAnsi="宋体"/>
          <w:spacing w:val="20"/>
          <w:kern w:val="44"/>
          <w:sz w:val="44"/>
          <w:szCs w:val="44"/>
        </w:rPr>
        <w:t xml:space="preserve"> </w:t>
      </w:r>
    </w:p>
    <w:p w14:paraId="763C8F7D">
      <w:pPr>
        <w:keepNext/>
        <w:keepLines/>
        <w:autoSpaceDE w:val="0"/>
        <w:autoSpaceDN w:val="0"/>
        <w:adjustRightInd w:val="0"/>
        <w:spacing w:line="480" w:lineRule="exact"/>
        <w:jc w:val="center"/>
        <w:textAlignment w:val="baseline"/>
        <w:outlineLvl w:val="1"/>
        <w:rPr>
          <w:rFonts w:hint="eastAsia" w:ascii="方正小标宋简体" w:hAnsi="宋体" w:eastAsia="方正小标宋简体"/>
          <w:spacing w:val="20"/>
          <w:kern w:val="44"/>
          <w:sz w:val="44"/>
          <w:szCs w:val="44"/>
        </w:rPr>
      </w:pPr>
      <w:r>
        <w:rPr>
          <w:rFonts w:hint="eastAsia" w:ascii="方正小标宋简体" w:hAnsi="宋体" w:eastAsia="方正小标宋简体"/>
          <w:spacing w:val="20"/>
          <w:kern w:val="44"/>
          <w:sz w:val="44"/>
          <w:szCs w:val="44"/>
        </w:rPr>
        <w:t>授权委托书</w:t>
      </w:r>
    </w:p>
    <w:p w14:paraId="35D63E60"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26A9454C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本授权书声明：注册于</w:t>
      </w:r>
      <w:r>
        <w:rPr>
          <w:rFonts w:hint="eastAsia" w:ascii="宋体" w:hAnsi="宋体"/>
          <w:spacing w:val="20"/>
          <w:sz w:val="24"/>
          <w:u w:val="single"/>
        </w:rPr>
        <w:t xml:space="preserve">  （参选银行注册地）  </w:t>
      </w:r>
      <w:r>
        <w:rPr>
          <w:rFonts w:hint="eastAsia" w:ascii="宋体" w:hAnsi="宋体"/>
          <w:spacing w:val="20"/>
          <w:sz w:val="24"/>
        </w:rPr>
        <w:t xml:space="preserve"> 的（</w:t>
      </w:r>
      <w:r>
        <w:rPr>
          <w:rFonts w:hint="eastAsia" w:ascii="宋体" w:hAnsi="宋体"/>
          <w:spacing w:val="20"/>
          <w:sz w:val="24"/>
          <w:u w:val="single"/>
        </w:rPr>
        <w:t>参选银行名称）</w:t>
      </w:r>
      <w:r>
        <w:rPr>
          <w:rFonts w:hint="eastAsia" w:ascii="宋体" w:hAnsi="宋体"/>
          <w:spacing w:val="20"/>
          <w:sz w:val="24"/>
        </w:rPr>
        <w:t>的在下面签字（或盖私章）的</w:t>
      </w:r>
      <w:r>
        <w:rPr>
          <w:rFonts w:hint="eastAsia" w:ascii="宋体" w:hAnsi="宋体"/>
          <w:spacing w:val="20"/>
          <w:sz w:val="24"/>
          <w:u w:val="single"/>
        </w:rPr>
        <w:t>（法定代表人/负责人/投资人姓名、职务）</w:t>
      </w:r>
      <w:r>
        <w:rPr>
          <w:rFonts w:hint="eastAsia" w:ascii="宋体" w:hAnsi="宋体"/>
          <w:spacing w:val="20"/>
          <w:sz w:val="24"/>
        </w:rPr>
        <w:t>代表本单位授权在下面签字（或盖私章）的</w:t>
      </w:r>
      <w:r>
        <w:rPr>
          <w:rFonts w:hint="eastAsia" w:ascii="宋体" w:hAnsi="宋体"/>
          <w:spacing w:val="20"/>
          <w:sz w:val="24"/>
          <w:u w:val="single"/>
        </w:rPr>
        <w:t>（被授权人姓名）</w:t>
      </w:r>
      <w:r>
        <w:rPr>
          <w:rFonts w:hint="eastAsia" w:ascii="宋体" w:hAnsi="宋体"/>
          <w:spacing w:val="20"/>
          <w:sz w:val="24"/>
        </w:rPr>
        <w:t xml:space="preserve">为本单位的合法代理人，就 </w:t>
      </w:r>
      <w:r>
        <w:rPr>
          <w:rFonts w:hint="eastAsia" w:ascii="宋体" w:hAnsi="宋体"/>
          <w:spacing w:val="20"/>
          <w:sz w:val="24"/>
          <w:u w:val="single"/>
        </w:rPr>
        <w:t>开平市计划生育协会基本账户</w:t>
      </w:r>
      <w:r>
        <w:rPr>
          <w:rFonts w:hint="eastAsia" w:ascii="宋体" w:hAnsi="宋体"/>
          <w:spacing w:val="20"/>
          <w:sz w:val="24"/>
        </w:rPr>
        <w:t>的遴选合作银行，以本单位名义处理一切与之有关的事务。</w:t>
      </w:r>
    </w:p>
    <w:p w14:paraId="5F2EB695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本授权书于</w:t>
      </w:r>
      <w:r>
        <w:rPr>
          <w:rFonts w:hint="eastAsia" w:ascii="宋体" w:hAnsi="宋体"/>
          <w:spacing w:val="20"/>
          <w:sz w:val="24"/>
          <w:lang w:val="en-US" w:eastAsia="zh-CN"/>
        </w:rPr>
        <w:t xml:space="preserve">    </w:t>
      </w:r>
      <w:r>
        <w:rPr>
          <w:rFonts w:hint="eastAsia" w:ascii="宋体" w:hAnsi="宋体"/>
          <w:spacing w:val="20"/>
          <w:sz w:val="24"/>
        </w:rPr>
        <w:t>年  月   日签字（或盖私章）生效，特此声明。</w:t>
      </w:r>
    </w:p>
    <w:p w14:paraId="5C468892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 xml:space="preserve"> </w:t>
      </w:r>
    </w:p>
    <w:p w14:paraId="482E1038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参选银行名称（盖公章）：</w:t>
      </w:r>
      <w:r>
        <w:rPr>
          <w:rFonts w:hint="eastAsia" w:ascii="宋体" w:hAnsi="宋体"/>
          <w:spacing w:val="20"/>
          <w:sz w:val="24"/>
          <w:u w:val="single"/>
        </w:rPr>
        <w:t xml:space="preserve">                       </w:t>
      </w:r>
      <w:r>
        <w:rPr>
          <w:rFonts w:hint="eastAsia" w:ascii="宋体" w:hAnsi="宋体"/>
          <w:spacing w:val="20"/>
          <w:sz w:val="24"/>
        </w:rPr>
        <w:t xml:space="preserve">                    </w:t>
      </w:r>
    </w:p>
    <w:p w14:paraId="1DC23613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法定代表人/负责人/投资人签字（或盖私章）：</w:t>
      </w:r>
      <w:r>
        <w:rPr>
          <w:rFonts w:hint="eastAsia" w:ascii="宋体" w:hAnsi="宋体"/>
          <w:spacing w:val="20"/>
          <w:sz w:val="24"/>
          <w:u w:val="single"/>
        </w:rPr>
        <w:t xml:space="preserve">           </w:t>
      </w:r>
      <w:r>
        <w:rPr>
          <w:rFonts w:hint="eastAsia" w:ascii="宋体" w:hAnsi="宋体"/>
          <w:spacing w:val="20"/>
          <w:sz w:val="24"/>
        </w:rPr>
        <w:t xml:space="preserve">                   </w:t>
      </w:r>
    </w:p>
    <w:p w14:paraId="30F40F3A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被授权人签字（或盖私章）：</w:t>
      </w:r>
      <w:r>
        <w:rPr>
          <w:rFonts w:hint="eastAsia" w:ascii="宋体" w:hAnsi="宋体"/>
          <w:spacing w:val="20"/>
          <w:sz w:val="24"/>
          <w:u w:val="single"/>
        </w:rPr>
        <w:t xml:space="preserve">            </w:t>
      </w:r>
      <w:r>
        <w:rPr>
          <w:rFonts w:hint="eastAsia" w:ascii="宋体" w:hAnsi="宋体"/>
          <w:spacing w:val="20"/>
          <w:sz w:val="24"/>
        </w:rPr>
        <w:t xml:space="preserve">                                </w:t>
      </w:r>
    </w:p>
    <w:p w14:paraId="70C70015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 xml:space="preserve">被授权人联系电话： </w:t>
      </w:r>
      <w:r>
        <w:rPr>
          <w:rFonts w:hint="eastAsia" w:ascii="宋体" w:hAnsi="宋体"/>
          <w:spacing w:val="20"/>
          <w:sz w:val="24"/>
          <w:u w:val="single"/>
        </w:rPr>
        <w:t xml:space="preserve">               </w:t>
      </w:r>
      <w:r>
        <w:rPr>
          <w:rFonts w:hint="eastAsia" w:ascii="宋体" w:hAnsi="宋体"/>
          <w:spacing w:val="20"/>
          <w:sz w:val="24"/>
        </w:rPr>
        <w:t xml:space="preserve">                             </w:t>
      </w:r>
    </w:p>
    <w:p w14:paraId="2110BEBC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 xml:space="preserve"> </w:t>
      </w:r>
    </w:p>
    <w:p w14:paraId="5937BB82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要求：</w:t>
      </w:r>
    </w:p>
    <w:p w14:paraId="6CD23AE5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1.如参选银行由法定代表人/负责人/投资人参加遴选及签署文件，则应当提交《法定代表人/负责人/投资人证明书》（参考工商行政管理局统一印制的法定代表人证明书格式，加盖单位公章）代替《授权委托书》。</w:t>
      </w:r>
    </w:p>
    <w:p w14:paraId="6DD67A27">
      <w:pPr>
        <w:spacing w:line="360" w:lineRule="auto"/>
        <w:ind w:firstLine="560" w:firstLineChars="200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2.参选银行应提供法定代表人/负责人/投资人、被授权人的有效身份证复印件以核实其身份。</w:t>
      </w:r>
    </w:p>
    <w:p w14:paraId="4A1E93A3">
      <w:pPr>
        <w:widowControl/>
        <w:spacing w:line="48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 w14:paraId="516974B4">
      <w:pPr>
        <w:widowControl/>
        <w:spacing w:line="480" w:lineRule="auto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</w:t>
      </w:r>
    </w:p>
    <w:p w14:paraId="23A03143">
      <w:pPr>
        <w:widowControl/>
        <w:spacing w:line="48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04197FDF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FFEE4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评分表</w:t>
      </w:r>
    </w:p>
    <w:tbl>
      <w:tblPr>
        <w:tblStyle w:val="4"/>
        <w:tblW w:w="1137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2694"/>
        <w:gridCol w:w="4073"/>
        <w:gridCol w:w="567"/>
        <w:gridCol w:w="3000"/>
      </w:tblGrid>
      <w:tr w14:paraId="4B717C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F45225E">
            <w:pPr>
              <w:widowControl/>
              <w:jc w:val="left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评审内容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B48641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评分指标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6768A3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评分说明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3EAC7F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权重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28909F0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备注</w:t>
            </w:r>
          </w:p>
        </w:tc>
      </w:tr>
      <w:tr w14:paraId="09B2CD9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3D2495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经营状况及安全性指标</w:t>
            </w:r>
          </w:p>
          <w:p w14:paraId="24AF6CDD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</w:rPr>
              <w:t>%）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1FFC47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1.持有金融许可证，在开平市设有分支机构的全国性国有商业银行、全国性国有控股股份制商业银行或城市商业银行；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EF9DB5">
            <w:pPr>
              <w:widowControl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持有金融许可证</w:t>
            </w:r>
            <w:r>
              <w:rPr>
                <w:rFonts w:hint="eastAsia" w:ascii="宋体" w:hAnsi="宋体"/>
                <w:color w:val="000000"/>
                <w:lang w:eastAsia="zh-CN"/>
              </w:rPr>
              <w:t>且是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全国性国有商业银行、全国性国有控股股份制商业银行或城市商业银行，并在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  <w:lang w:eastAsia="zh-CN"/>
              </w:rPr>
              <w:t>开平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市设有银行机构及相应的营业网点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  <w:lang w:eastAsia="zh-CN"/>
              </w:rPr>
              <w:t>得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  <w:lang w:val="en-US" w:eastAsia="zh-CN"/>
              </w:rPr>
              <w:t>10分，否则不得分。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8ACB87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F31263">
            <w:pPr>
              <w:widowControl/>
              <w:textAlignment w:val="center"/>
              <w:rPr>
                <w:rFonts w:hint="eastAsia" w:ascii="宋体" w:hAnsi="宋体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投标人需</w:t>
            </w:r>
            <w:r>
              <w:rPr>
                <w:rFonts w:hint="eastAsia" w:ascii="宋体" w:hAnsi="宋体"/>
                <w:color w:val="000000"/>
                <w:lang w:eastAsia="zh-CN"/>
              </w:rPr>
              <w:t>提供</w:t>
            </w:r>
            <w:r>
              <w:rPr>
                <w:rFonts w:hint="eastAsia" w:ascii="宋体" w:hAnsi="宋体"/>
                <w:color w:val="000000"/>
              </w:rPr>
              <w:t>金融许可证</w:t>
            </w:r>
            <w:r>
              <w:rPr>
                <w:rFonts w:hint="eastAsia" w:ascii="宋体" w:hAnsi="宋体"/>
                <w:color w:val="000000"/>
                <w:lang w:eastAsia="zh-CN"/>
              </w:rPr>
              <w:t>复印件和在开平市营业网点一览表</w:t>
            </w:r>
            <w:r>
              <w:rPr>
                <w:rFonts w:hint="eastAsia" w:ascii="宋体" w:hAnsi="宋体"/>
                <w:color w:val="000000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</w:rPr>
              <w:t>不提供不得分。</w:t>
            </w:r>
          </w:p>
        </w:tc>
      </w:tr>
      <w:tr w14:paraId="132EB9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3DE015">
            <w:pPr>
              <w:widowControl/>
              <w:jc w:val="left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AA3156">
            <w:pPr>
              <w:widowControl/>
              <w:textAlignment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</w:rPr>
              <w:t>具备独立承担民事责任能力，参与本项目投标前三年内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无重大违法违规记录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6CFCF6F4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5F921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参与本项目投标前三年内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无重大违法违规记录</w:t>
            </w:r>
            <w:r>
              <w:rPr>
                <w:rFonts w:hint="eastAsia" w:ascii="宋体" w:hAnsi="宋体"/>
                <w:lang w:eastAsia="zh-CN"/>
              </w:rPr>
              <w:t>得</w:t>
            </w:r>
            <w:r>
              <w:rPr>
                <w:rFonts w:hint="eastAsia" w:ascii="宋体" w:hAnsi="宋体"/>
                <w:color w:val="000000"/>
                <w:kern w:val="0"/>
              </w:rPr>
              <w:t>10 分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，否则不得分</w:t>
            </w:r>
            <w:r>
              <w:rPr>
                <w:rFonts w:hint="eastAsia" w:ascii="宋体" w:hAnsi="宋体"/>
                <w:color w:val="000000"/>
                <w:kern w:val="0"/>
              </w:rPr>
              <w:t>。</w:t>
            </w:r>
          </w:p>
          <w:p w14:paraId="1746DDF3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CFE78D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10%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267113">
            <w:pPr>
              <w:widowControl/>
              <w:textAlignment w:val="center"/>
              <w:rPr>
                <w:rFonts w:hint="eastAsia" w:ascii="宋体" w:hAnsi="宋体" w:eastAsia="宋体" w:cs="Calibri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提供信用中国、中国政府采购网等平台查询证明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</w:rPr>
              <w:t>不提供不得分。</w:t>
            </w:r>
          </w:p>
        </w:tc>
      </w:tr>
      <w:tr w14:paraId="5587381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FAB315">
            <w:pPr>
              <w:widowControl/>
              <w:jc w:val="left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AB7FEC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3.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存贷比指标，截止202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</w:rPr>
              <w:t xml:space="preserve"> 年12 月31 日</w:t>
            </w:r>
            <w:r>
              <w:rPr>
                <w:rFonts w:hint="eastAsia" w:ascii="宋体" w:hAnsi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投标人的存贷比（各项贷款/各项存款）（%））</w:t>
            </w:r>
          </w:p>
          <w:p w14:paraId="5F5242FF">
            <w:pPr>
              <w:widowControl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（以</w:t>
            </w:r>
            <w:r>
              <w:rPr>
                <w:rFonts w:hint="eastAsia" w:ascii="宋体" w:hAnsi="宋体"/>
                <w:color w:val="000000"/>
                <w:lang w:eastAsia="zh-CN"/>
              </w:rPr>
              <w:t>开平</w:t>
            </w:r>
            <w:r>
              <w:rPr>
                <w:rFonts w:hint="eastAsia" w:ascii="宋体" w:hAnsi="宋体"/>
                <w:color w:val="000000"/>
              </w:rPr>
              <w:t>市全市数据为准）</w:t>
            </w:r>
            <w:r>
              <w:rPr>
                <w:rFonts w:hint="eastAsia" w:ascii="宋体" w:hAnsi="宋体"/>
              </w:rPr>
              <w:t>；</w:t>
            </w:r>
          </w:p>
          <w:p w14:paraId="4C258248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AD20E0">
            <w:pPr>
              <w:widowControl/>
              <w:jc w:val="left"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满分为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分。其中：（1）80%-100%及以上：得5 分；（2）60%-80%（不含80%）：得4分；（3）60%（不含60%）以下：得3分。存贷比指标（各项贷款/各项存款）（%）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6F12A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F87CDE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存贷比指标（各项贷款/各项存款）（%）以各投标人上报人行金融统计监测管理信息系统数据为准；投标人需在投标文件中提供报表系统数据截图，不提供不得分。</w:t>
            </w:r>
          </w:p>
        </w:tc>
      </w:tr>
      <w:tr w14:paraId="44597C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A2F440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服务质量指标（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000000"/>
              </w:rPr>
              <w:t>%）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8FD7DA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t>营业网点数量（个）：截止202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年12 月31 日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</w:rPr>
              <w:t>投标人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在开平</w:t>
            </w:r>
            <w:r>
              <w:rPr>
                <w:rFonts w:hint="eastAsia" w:ascii="宋体" w:hAnsi="宋体"/>
                <w:color w:val="000000"/>
                <w:kern w:val="0"/>
              </w:rPr>
              <w:t>市设立的营业网点机构数量。（以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开平</w:t>
            </w:r>
            <w:r>
              <w:rPr>
                <w:rFonts w:hint="eastAsia" w:ascii="宋体" w:hAnsi="宋体"/>
                <w:color w:val="000000"/>
                <w:kern w:val="0"/>
              </w:rPr>
              <w:t>市全市数据为准）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324768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1.服务网点合计数量＞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家，得分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</w:rPr>
              <w:t>0分；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2.服务网点合计数量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家，得分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3.服务网点合计数量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</w:rPr>
              <w:t>家，得分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</w:p>
          <w:p w14:paraId="7A1A1B58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4.服务网点合计数量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家，得分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</w:p>
          <w:p w14:paraId="0D011299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5.服务网点合计数量＜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</w:rPr>
              <w:t>家，不得分。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C9A07D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</w:rPr>
              <w:t>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F75F3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营业网点机构数量（个）以各投标人上报银保监局的非现场监管系统数据口径填报，以投标人提供报表系统数据截图作为依据；投标人需在投标文件中提供报表系统数据截图，不提供不得分。</w:t>
            </w:r>
          </w:p>
        </w:tc>
      </w:tr>
      <w:tr w14:paraId="4A3E35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3C815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1E6391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</w:rPr>
              <w:t>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t>营业网点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距离</w:t>
            </w:r>
            <w:r>
              <w:rPr>
                <w:rFonts w:hint="eastAsia" w:ascii="宋体" w:hAnsi="宋体"/>
                <w:color w:val="000000"/>
                <w:kern w:val="0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米</w:t>
            </w:r>
            <w:r>
              <w:rPr>
                <w:rFonts w:hint="eastAsia" w:ascii="宋体" w:hAnsi="宋体"/>
                <w:color w:val="000000"/>
                <w:kern w:val="0"/>
              </w:rPr>
              <w:t>）：截止202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年12 月31 日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，在开平</w:t>
            </w:r>
            <w:r>
              <w:rPr>
                <w:rFonts w:hint="eastAsia" w:ascii="宋体" w:hAnsi="宋体"/>
                <w:color w:val="000000"/>
                <w:kern w:val="0"/>
              </w:rPr>
              <w:t>市设立的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距离招标单位最近的某一</w:t>
            </w:r>
            <w:r>
              <w:rPr>
                <w:rFonts w:hint="eastAsia" w:ascii="宋体" w:hAnsi="宋体"/>
                <w:color w:val="000000"/>
                <w:kern w:val="0"/>
              </w:rPr>
              <w:t>营业网点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与招标单位的直线距离。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14C4D5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</w:rPr>
              <w:t>服务网点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与招标单位的直线距离＜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500米</w:t>
            </w:r>
            <w:r>
              <w:rPr>
                <w:rFonts w:hint="eastAsia" w:ascii="宋体" w:hAnsi="宋体"/>
                <w:color w:val="000000"/>
                <w:kern w:val="0"/>
              </w:rPr>
              <w:t>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</w:rPr>
              <w:t>0分；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</w:rPr>
              <w:t>服务网点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500-1000米</w:t>
            </w:r>
            <w:r>
              <w:rPr>
                <w:rFonts w:hint="eastAsia" w:ascii="宋体" w:hAnsi="宋体"/>
                <w:color w:val="000000"/>
                <w:kern w:val="0"/>
              </w:rPr>
              <w:t>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</w:rPr>
              <w:t>服务网点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1001-1500米</w:t>
            </w:r>
            <w:r>
              <w:rPr>
                <w:rFonts w:hint="eastAsia" w:ascii="宋体" w:hAnsi="宋体"/>
                <w:color w:val="000000"/>
                <w:kern w:val="0"/>
              </w:rPr>
              <w:t>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</w:p>
          <w:p w14:paraId="68000867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</w:rPr>
              <w:t>服务网点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1501-2000米</w:t>
            </w:r>
            <w:r>
              <w:rPr>
                <w:rFonts w:hint="eastAsia" w:ascii="宋体" w:hAnsi="宋体"/>
                <w:color w:val="000000"/>
                <w:kern w:val="0"/>
              </w:rPr>
              <w:t>，得分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>分；</w:t>
            </w:r>
          </w:p>
          <w:p w14:paraId="56D06AB2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5.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</w:rPr>
              <w:t>服务网点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与招标单位的直线距离＞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2000</w:t>
            </w:r>
            <w:r>
              <w:rPr>
                <w:rFonts w:hint="eastAsia" w:ascii="宋体" w:hAnsi="宋体"/>
                <w:color w:val="000000"/>
                <w:kern w:val="0"/>
              </w:rPr>
              <w:t>，不得分。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36CD5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CDE4BF">
            <w:pPr>
              <w:widowControl/>
              <w:textAlignment w:val="center"/>
              <w:rPr>
                <w:rFonts w:hint="eastAsia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截止202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年12 月31 日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，在开平</w:t>
            </w:r>
            <w:r>
              <w:rPr>
                <w:rFonts w:hint="eastAsia" w:ascii="宋体" w:hAnsi="宋体"/>
                <w:color w:val="000000"/>
                <w:kern w:val="0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距离招标单位最近的某一</w:t>
            </w:r>
            <w:r>
              <w:rPr>
                <w:rFonts w:hint="eastAsia" w:ascii="宋体" w:hAnsi="宋体"/>
                <w:color w:val="000000"/>
                <w:kern w:val="0"/>
              </w:rPr>
              <w:t>营业网点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与招标单位的直线距离，</w:t>
            </w:r>
            <w:r>
              <w:rPr>
                <w:rFonts w:hint="eastAsia" w:ascii="宋体" w:hAnsi="宋体"/>
                <w:color w:val="000000"/>
                <w:kern w:val="0"/>
              </w:rPr>
              <w:t>以投标人提供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百度地图截图的距离</w:t>
            </w:r>
            <w:r>
              <w:rPr>
                <w:rFonts w:hint="eastAsia" w:ascii="宋体" w:hAnsi="宋体"/>
                <w:color w:val="000000"/>
                <w:kern w:val="0"/>
              </w:rPr>
              <w:t>作为依据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。</w:t>
            </w:r>
          </w:p>
        </w:tc>
      </w:tr>
      <w:tr w14:paraId="1CA539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4A74C5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ADE4FE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</w:rPr>
              <w:t>.支付结算能力及服务水平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3BF12C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满分为5分。考察投标人业务受理、转账到账、提取现金等业务办理及时性；对于单据处理、单据派发的响应速度；柜面人员的服务意识；业务办理客户满意度。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837255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338A7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根据投标人日常服务水平评分。</w:t>
            </w:r>
          </w:p>
        </w:tc>
      </w:tr>
      <w:tr w14:paraId="4F6B7B3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4B11F0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0B31A2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</w:rPr>
              <w:t>.是否可减免账户费用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DD6889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满分为10分。可减免账户费用的得10分，不可减免账户费用的得0分。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D5D0C8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F5B1E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按投标人提供承诺函为准</w:t>
            </w:r>
          </w:p>
        </w:tc>
      </w:tr>
      <w:tr w14:paraId="0140300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02249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4330C8">
            <w:pPr>
              <w:widowControl/>
              <w:textAlignment w:val="center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</w:rPr>
              <w:t>.是否具备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开平</w:t>
            </w:r>
            <w:r>
              <w:rPr>
                <w:rFonts w:hint="eastAsia" w:ascii="宋体" w:hAnsi="宋体"/>
                <w:color w:val="000000"/>
                <w:kern w:val="0"/>
              </w:rPr>
              <w:t>市国库集中支付业务资格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7A2B21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满分为5分。具备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开平</w:t>
            </w:r>
            <w:r>
              <w:rPr>
                <w:rFonts w:hint="eastAsia" w:ascii="宋体" w:hAnsi="宋体"/>
                <w:color w:val="000000"/>
                <w:kern w:val="0"/>
              </w:rPr>
              <w:t>市国库集中支付业务资格的得5分，不具备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开平</w:t>
            </w:r>
            <w:r>
              <w:rPr>
                <w:rFonts w:hint="eastAsia" w:ascii="宋体" w:hAnsi="宋体"/>
                <w:color w:val="000000"/>
                <w:kern w:val="0"/>
              </w:rPr>
              <w:t>市国库集中支付业务资格的得0分。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97CAB6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  <w:r>
              <w:rPr>
                <w:rFonts w:hint="eastAsia" w:ascii="宋体" w:hAnsi="宋体"/>
                <w:color w:val="000000"/>
              </w:rPr>
              <w:t>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A5B866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按投标人提供的相关代理业务资格证书/协议/合同</w:t>
            </w:r>
          </w:p>
        </w:tc>
      </w:tr>
      <w:tr w14:paraId="6BAF03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DCC5ED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利率指标（10%）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537B8C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</w:rPr>
              <w:t>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</w:rPr>
              <w:t>利率优惠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AC2CC8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活期协定存款优惠利率：投标人给予的在人民银行活期协定存款挂牌利率基础上增加基点(BP)。</w:t>
            </w:r>
          </w:p>
          <w:p w14:paraId="67026A54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  <w:p w14:paraId="3347E87F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1.≥40BP（含），得分10分；</w:t>
            </w:r>
          </w:p>
          <w:p w14:paraId="260FC339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2.30BP（含）-40BP，得分6分；</w:t>
            </w:r>
          </w:p>
          <w:p w14:paraId="5F3E25A4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3.＜30BP，得分0分。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B82A66">
            <w:pPr>
              <w:widowControl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5DE6C7">
            <w:pPr>
              <w:widowControl/>
              <w:textAlignment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按投标人提供承诺函为准</w:t>
            </w:r>
          </w:p>
        </w:tc>
      </w:tr>
      <w:tr w14:paraId="02B01F8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712D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综合评价</w:t>
            </w:r>
          </w:p>
          <w:p w14:paraId="42CD94FA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（20%）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02353E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</w:rPr>
              <w:t>.综合评价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F0850E">
            <w:pPr>
              <w:widowControl/>
              <w:textAlignment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根据参评银行的服务质量、客户满意度情况等进行综合评价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44CD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20%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04C257"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</w:tbl>
    <w:p w14:paraId="59F266E7">
      <w:pPr>
        <w:jc w:val="center"/>
        <w:rPr>
          <w:rFonts w:hint="eastAsia" w:ascii="仿宋_GB2312" w:hAnsi="Times New Roman" w:eastAsia="仿宋_GB2312" w:cs="Calibri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 xml:space="preserve"> </w:t>
      </w:r>
    </w:p>
    <w:p w14:paraId="6FEDC68F">
      <w:pPr>
        <w:spacing w:line="480" w:lineRule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7BAAAFD6">
      <w:pPr>
        <w:spacing w:line="480" w:lineRule="auto"/>
        <w:rPr>
          <w:rFonts w:hint="eastAsia" w:ascii="黑体" w:hAnsi="黑体" w:eastAsia="黑体"/>
          <w:sz w:val="32"/>
          <w:szCs w:val="32"/>
        </w:rPr>
      </w:pPr>
    </w:p>
    <w:p w14:paraId="0B27685B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594A955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D369A10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E567B1E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BA0B595"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3CFA646"/>
    <w:sectPr>
      <w:pgSz w:w="11906" w:h="16838"/>
      <w:pgMar w:top="2041" w:right="1474" w:bottom="204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7F"/>
    <w:rsid w:val="002A5563"/>
    <w:rsid w:val="003B497F"/>
    <w:rsid w:val="0E7F0ABA"/>
    <w:rsid w:val="1C1E0B9B"/>
    <w:rsid w:val="2DE51610"/>
    <w:rsid w:val="4F88266E"/>
    <w:rsid w:val="5C2F421A"/>
    <w:rsid w:val="6DB43642"/>
    <w:rsid w:val="6F96032D"/>
    <w:rsid w:val="7F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qFormat/>
    <w:uiPriority w:val="0"/>
    <w:pPr>
      <w:spacing w:after="120"/>
    </w:p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 Char"/>
    <w:basedOn w:val="5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560</Words>
  <Characters>568</Characters>
  <Lines>24</Lines>
  <Paragraphs>6</Paragraphs>
  <TotalTime>7</TotalTime>
  <ScaleCrop>false</ScaleCrop>
  <LinksUpToDate>false</LinksUpToDate>
  <CharactersWithSpaces>752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2023-04-12T02:15:00Z</dcterms:created>
  <dc:creator>吴峰号</dc:creator>
  <cp:lastModifiedBy>小明同学</cp:lastModifiedBy>
  <cp:lastPrinted>2025-03-31T07:30:04Z</cp:lastPrinted>
  <dcterms:modified xsi:type="dcterms:W3CDTF">2025-03-31T08:35:58Z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eyJoZGlkIjoiYjJiOGQ2MzM2MzZmZTMyZGFiMzJhNzU1MjlhY2U2Y2IiLCJ1c2VySWQiOiI2ODU4NDkzNzAifQ==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419DEBBD13ED4CFF85B8F3C2568CD7EC_13</vt:lpwstr>
  </property>
</Properties>
</file>