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textAlignment w:val="auto"/>
        <w:outlineLvl w:val="0"/>
        <w:rPr>
          <w:rFonts w:hint="eastAsia"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开平市玩具产品质量监督抽查实施细则</w:t>
      </w: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（202</w:t>
      </w:r>
      <w:r>
        <w:rPr>
          <w:rFonts w:hint="eastAsia" w:ascii="方正小标宋简体" w:hAnsi="方正小标宋简体" w:eastAsia="方正小标宋简体" w:cs="方正小标宋简体"/>
          <w:color w:val="auto"/>
          <w:sz w:val="28"/>
          <w:szCs w:val="28"/>
        </w:rPr>
        <w:t>5</w:t>
      </w:r>
      <w:r>
        <w:rPr>
          <w:rFonts w:hint="eastAsia" w:ascii="方正小标宋简体" w:hAnsi="方正小标宋简体" w:eastAsia="方正小标宋简体" w:cs="方正小标宋简体"/>
          <w:color w:val="auto"/>
          <w:sz w:val="28"/>
          <w:szCs w:val="28"/>
        </w:rPr>
        <w:t>年版）</w:t>
      </w:r>
    </w:p>
    <w:p>
      <w:pPr>
        <w:spacing w:line="560" w:lineRule="exact"/>
        <w:rPr>
          <w:rFonts w:ascii="仿宋_GB2312" w:hAnsi="仿宋_GB2312" w:cs="仿宋_GB2312"/>
          <w:color w:val="auto"/>
          <w:szCs w:val="32"/>
        </w:rPr>
      </w:pPr>
    </w:p>
    <w:p>
      <w:pPr>
        <w:snapToGrid w:val="0"/>
        <w:spacing w:line="560" w:lineRule="exact"/>
        <w:ind w:firstLine="420" w:firstLineChars="200"/>
        <w:rPr>
          <w:color w:val="auto"/>
          <w:szCs w:val="32"/>
        </w:rPr>
      </w:pPr>
      <w:r>
        <w:rPr>
          <w:rFonts w:hint="eastAsia" w:eastAsia="黑体"/>
          <w:color w:val="auto"/>
          <w:szCs w:val="32"/>
        </w:rPr>
        <w:t xml:space="preserve">1 </w:t>
      </w:r>
      <w:r>
        <w:rPr>
          <w:rFonts w:eastAsia="黑体"/>
          <w:color w:val="auto"/>
          <w:szCs w:val="32"/>
        </w:rPr>
        <w:t>抽样方法</w:t>
      </w:r>
      <w:bookmarkStart w:id="1" w:name="_GoBack"/>
      <w:bookmarkEnd w:id="1"/>
    </w:p>
    <w:p>
      <w:pPr>
        <w:snapToGrid w:val="0"/>
        <w:spacing w:line="560" w:lineRule="exact"/>
        <w:ind w:firstLine="420" w:firstLineChars="200"/>
        <w:rPr>
          <w:color w:val="auto"/>
          <w:szCs w:val="32"/>
        </w:rPr>
      </w:pPr>
      <w:r>
        <w:rPr>
          <w:color w:val="auto"/>
          <w:szCs w:val="32"/>
        </w:rPr>
        <w:t>以随机抽样的方式在被抽样生产者、销售者的待销产品中抽取。</w:t>
      </w:r>
    </w:p>
    <w:p>
      <w:pPr>
        <w:snapToGrid w:val="0"/>
        <w:spacing w:line="560" w:lineRule="exact"/>
        <w:ind w:firstLine="420" w:firstLineChars="200"/>
        <w:rPr>
          <w:color w:val="auto"/>
          <w:szCs w:val="32"/>
        </w:rPr>
      </w:pPr>
      <w:r>
        <w:rPr>
          <w:color w:val="auto"/>
          <w:szCs w:val="32"/>
        </w:rPr>
        <w:t>随机数一般可使用随机数表等方法产生。</w:t>
      </w:r>
    </w:p>
    <w:p>
      <w:pPr>
        <w:snapToGrid w:val="0"/>
        <w:spacing w:line="560" w:lineRule="exact"/>
        <w:ind w:firstLine="420" w:firstLineChars="200"/>
        <w:rPr>
          <w:color w:val="auto"/>
          <w:szCs w:val="32"/>
        </w:rPr>
      </w:pPr>
      <w:r>
        <w:rPr>
          <w:color w:val="auto"/>
          <w:szCs w:val="32"/>
        </w:rPr>
        <w:t>每批次抽样数量3个，其中2个作为检验样品，1个作为备用样品。</w:t>
      </w:r>
    </w:p>
    <w:p>
      <w:pPr>
        <w:snapToGrid w:val="0"/>
        <w:spacing w:line="560" w:lineRule="exact"/>
        <w:ind w:firstLine="420" w:firstLineChars="200"/>
        <w:rPr>
          <w:color w:val="auto"/>
          <w:szCs w:val="32"/>
        </w:rPr>
      </w:pPr>
      <w:r>
        <w:rPr>
          <w:rFonts w:hint="eastAsia" w:eastAsia="黑体"/>
          <w:color w:val="auto"/>
          <w:szCs w:val="32"/>
        </w:rPr>
        <w:t xml:space="preserve">2 </w:t>
      </w:r>
      <w:r>
        <w:rPr>
          <w:rFonts w:hint="eastAsia" w:ascii="黑体" w:hAnsi="宋体" w:eastAsia="黑体"/>
          <w:color w:val="auto"/>
          <w:szCs w:val="21"/>
        </w:rPr>
        <w:t>检验依据</w:t>
      </w:r>
    </w:p>
    <w:tbl>
      <w:tblPr>
        <w:tblStyle w:val="9"/>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4583"/>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347" w:type="pct"/>
            <w:vAlign w:val="center"/>
          </w:tcPr>
          <w:p>
            <w:pPr>
              <w:spacing w:line="320" w:lineRule="exact"/>
              <w:jc w:val="center"/>
              <w:rPr>
                <w:rFonts w:ascii="黑体" w:hAnsi="黑体" w:eastAsia="黑体" w:cs="黑体"/>
                <w:color w:val="auto"/>
                <w:szCs w:val="21"/>
              </w:rPr>
            </w:pPr>
            <w:r>
              <w:rPr>
                <w:rFonts w:hint="eastAsia" w:ascii="黑体" w:hAnsi="黑体" w:eastAsia="黑体" w:cs="黑体"/>
                <w:color w:val="auto"/>
                <w:szCs w:val="21"/>
              </w:rPr>
              <w:t>序号</w:t>
            </w:r>
          </w:p>
        </w:tc>
        <w:tc>
          <w:tcPr>
            <w:tcW w:w="2617" w:type="pct"/>
            <w:vAlign w:val="center"/>
          </w:tcPr>
          <w:p>
            <w:pPr>
              <w:spacing w:line="320" w:lineRule="exact"/>
              <w:jc w:val="center"/>
              <w:rPr>
                <w:rFonts w:ascii="黑体" w:hAnsi="黑体" w:eastAsia="黑体" w:cs="黑体"/>
                <w:color w:val="auto"/>
                <w:szCs w:val="21"/>
              </w:rPr>
            </w:pPr>
            <w:r>
              <w:rPr>
                <w:rFonts w:hint="eastAsia" w:ascii="黑体" w:hAnsi="黑体" w:eastAsia="黑体" w:cs="黑体"/>
                <w:color w:val="auto"/>
                <w:szCs w:val="21"/>
              </w:rPr>
              <w:t>检验项目</w:t>
            </w:r>
          </w:p>
        </w:tc>
        <w:tc>
          <w:tcPr>
            <w:tcW w:w="2036" w:type="pct"/>
            <w:vAlign w:val="center"/>
          </w:tcPr>
          <w:p>
            <w:pPr>
              <w:spacing w:line="320" w:lineRule="exact"/>
              <w:jc w:val="center"/>
              <w:rPr>
                <w:rFonts w:ascii="黑体" w:hAnsi="黑体" w:eastAsia="黑体" w:cs="黑体"/>
                <w:color w:val="auto"/>
                <w:szCs w:val="21"/>
              </w:rPr>
            </w:pPr>
            <w:r>
              <w:rPr>
                <w:rFonts w:hint="eastAsia" w:ascii="黑体" w:hAnsi="黑体" w:eastAsia="黑体" w:cs="黑体"/>
                <w:color w:val="auto"/>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000" w:type="pct"/>
            <w:gridSpan w:val="3"/>
            <w:vAlign w:val="center"/>
          </w:tcPr>
          <w:p>
            <w:pPr>
              <w:pStyle w:val="3"/>
              <w:spacing w:line="320" w:lineRule="exact"/>
              <w:jc w:val="left"/>
              <w:rPr>
                <w:rFonts w:ascii="Times New Roman" w:hAnsi="Times New Roman"/>
                <w:bCs/>
                <w:color w:val="auto"/>
                <w:sz w:val="21"/>
              </w:rPr>
            </w:pPr>
            <w:r>
              <w:rPr>
                <w:rFonts w:hint="eastAsia" w:ascii="Times New Roman" w:hAnsi="Times New Roman"/>
                <w:bCs/>
                <w:color w:val="auto"/>
                <w:sz w:val="21"/>
              </w:rPr>
              <w:t>（一）</w:t>
            </w:r>
            <w:r>
              <w:rPr>
                <w:rFonts w:ascii="Times New Roman" w:hAnsi="Times New Roman"/>
                <w:bCs/>
                <w:color w:val="auto"/>
                <w:sz w:val="21"/>
              </w:rPr>
              <w:t>机械与物理性能（正常使用和可预见的合理滥用）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材料</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小零件</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挤压玩具、摇铃及类似玩具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小球</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5</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毛球</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6</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学前玩偶</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7</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玩具奶嘴</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8</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气球</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9</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弹珠</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10</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半球形玩具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11</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可触及的金属或玻璃边缘</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12</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功能性锐利边缘</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13</w:t>
            </w:r>
          </w:p>
        </w:tc>
        <w:tc>
          <w:tcPr>
            <w:tcW w:w="2617" w:type="pct"/>
            <w:vAlign w:val="center"/>
          </w:tcPr>
          <w:p>
            <w:pPr>
              <w:spacing w:line="320" w:lineRule="exact"/>
              <w:jc w:val="center"/>
              <w:rPr>
                <w:rFonts w:eastAsia="宋体"/>
                <w:bCs/>
                <w:color w:val="auto"/>
                <w:szCs w:val="21"/>
              </w:rPr>
            </w:pPr>
            <w:r>
              <w:rPr>
                <w:rFonts w:eastAsia="宋体"/>
                <w:bCs/>
                <w:color w:val="auto"/>
                <w:kern w:val="0"/>
                <w:szCs w:val="21"/>
              </w:rPr>
              <w:t>金属玩具边缘</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14</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模塑玩具边缘</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15</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外露螺栓或螺纹杆的边缘</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16</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可触及的锐利尖端</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17</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功能性锐利尖端</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18</w:t>
            </w:r>
          </w:p>
        </w:tc>
        <w:tc>
          <w:tcPr>
            <w:tcW w:w="2617" w:type="pct"/>
            <w:vAlign w:val="center"/>
          </w:tcPr>
          <w:p>
            <w:pPr>
              <w:spacing w:line="320" w:lineRule="exact"/>
              <w:jc w:val="center"/>
              <w:rPr>
                <w:rFonts w:eastAsia="宋体"/>
                <w:bCs/>
                <w:color w:val="auto"/>
                <w:kern w:val="0"/>
                <w:szCs w:val="21"/>
              </w:rPr>
            </w:pPr>
            <w:r>
              <w:rPr>
                <w:rFonts w:eastAsia="宋体"/>
                <w:bCs/>
                <w:color w:val="auto"/>
                <w:kern w:val="0"/>
                <w:szCs w:val="21"/>
              </w:rPr>
              <w:t>木制玩具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19</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突出物</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20</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把手和其他类似的管子</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21</w:t>
            </w:r>
          </w:p>
        </w:tc>
        <w:tc>
          <w:tcPr>
            <w:tcW w:w="2617" w:type="pct"/>
            <w:vAlign w:val="center"/>
          </w:tcPr>
          <w:p>
            <w:pPr>
              <w:pStyle w:val="3"/>
              <w:spacing w:line="320" w:lineRule="exact"/>
              <w:jc w:val="center"/>
              <w:rPr>
                <w:rFonts w:ascii="Times New Roman" w:hAnsi="Times New Roman"/>
                <w:bCs/>
                <w:color w:val="auto"/>
                <w:sz w:val="21"/>
              </w:rPr>
            </w:pPr>
            <w:bookmarkStart w:id="0" w:name="OLE_LINK2"/>
            <w:r>
              <w:rPr>
                <w:rFonts w:ascii="Times New Roman" w:hAnsi="Times New Roman"/>
                <w:color w:val="auto"/>
                <w:sz w:val="21"/>
              </w:rPr>
              <w:t>金属丝和杆件</w:t>
            </w:r>
            <w:bookmarkEnd w:id="0"/>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22</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用于包装或玩具中的塑料袋或塑料薄膜</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23</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18个月以下儿童使用的玩具上的绳索和弹性绳</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24</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18个月以下儿童使用的玩具上的自回缩绳</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25</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36个月以下儿童使用的拖拉玩具上的绳索或弹性绳</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26</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玩具袋上的绳索</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27</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color w:val="auto"/>
                <w:sz w:val="21"/>
              </w:rPr>
              <w:t>童床或游戏围栏上的悬挂玩具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28</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color w:val="auto"/>
                <w:sz w:val="21"/>
              </w:rPr>
              <w:t>童床上的健身玩具及类似玩具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29</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color w:val="auto"/>
                <w:sz w:val="21"/>
              </w:rPr>
              <w:t>飞行玩具的绳索、细绳或线</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30</w:t>
            </w:r>
          </w:p>
        </w:tc>
        <w:tc>
          <w:tcPr>
            <w:tcW w:w="2617" w:type="pct"/>
            <w:vAlign w:val="center"/>
          </w:tcPr>
          <w:p>
            <w:pPr>
              <w:pStyle w:val="3"/>
              <w:spacing w:line="320" w:lineRule="exact"/>
              <w:jc w:val="center"/>
              <w:rPr>
                <w:rFonts w:ascii="Times New Roman" w:hAnsi="Times New Roman"/>
                <w:color w:val="auto"/>
                <w:sz w:val="21"/>
              </w:rPr>
            </w:pPr>
            <w:r>
              <w:rPr>
                <w:rFonts w:ascii="Times New Roman" w:hAnsi="Times New Roman"/>
                <w:color w:val="auto"/>
                <w:sz w:val="21"/>
              </w:rPr>
              <w:t>玩具推车、玩具婴儿车及类似玩具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31</w:t>
            </w:r>
          </w:p>
        </w:tc>
        <w:tc>
          <w:tcPr>
            <w:tcW w:w="2617" w:type="pct"/>
            <w:vAlign w:val="center"/>
          </w:tcPr>
          <w:p>
            <w:pPr>
              <w:pStyle w:val="3"/>
              <w:spacing w:line="320" w:lineRule="exact"/>
              <w:jc w:val="center"/>
              <w:rPr>
                <w:rFonts w:ascii="Times New Roman" w:hAnsi="Times New Roman"/>
                <w:color w:val="auto"/>
                <w:sz w:val="21"/>
              </w:rPr>
            </w:pPr>
            <w:r>
              <w:rPr>
                <w:rFonts w:ascii="Times New Roman" w:hAnsi="Times New Roman"/>
                <w:color w:val="auto"/>
                <w:sz w:val="21"/>
              </w:rPr>
              <w:t>带有折叠机构的其他玩具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32</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铰链间隙</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33</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刚性材料上的圆孔</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34</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活动部件间的间隙</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35</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其他驱动机构</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36</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发条钥匙</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37</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弹簧</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38</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封闭式玩具的通风装置</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39</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封闭式玩具的关闭件</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40</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封闭头部的玩具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41</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仿制防护玩具</w:t>
            </w:r>
          </w:p>
          <w:p>
            <w:pPr>
              <w:pStyle w:val="3"/>
              <w:spacing w:line="320" w:lineRule="exact"/>
              <w:jc w:val="center"/>
              <w:rPr>
                <w:rFonts w:ascii="Times New Roman" w:hAnsi="Times New Roman"/>
                <w:bCs/>
                <w:color w:val="auto"/>
                <w:sz w:val="21"/>
              </w:rPr>
            </w:pPr>
            <w:r>
              <w:rPr>
                <w:rFonts w:ascii="Times New Roman" w:hAnsi="Times New Roman"/>
                <w:bCs/>
                <w:color w:val="auto"/>
                <w:sz w:val="21"/>
              </w:rPr>
              <w:t>（头盔、帽子、护目镜）</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42</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弹射玩具的一般要求</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43</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蓄能弹射玩具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44</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非蓄能弹射玩具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45</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水上玩具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46</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color w:val="auto"/>
                <w:sz w:val="21"/>
              </w:rPr>
              <w:t>热源玩具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47</w:t>
            </w:r>
          </w:p>
        </w:tc>
        <w:tc>
          <w:tcPr>
            <w:tcW w:w="2617" w:type="pct"/>
            <w:vAlign w:val="center"/>
          </w:tcPr>
          <w:p>
            <w:pPr>
              <w:spacing w:line="320" w:lineRule="exact"/>
              <w:jc w:val="center"/>
              <w:rPr>
                <w:rFonts w:eastAsia="宋体"/>
                <w:bCs/>
                <w:color w:val="auto"/>
                <w:szCs w:val="21"/>
              </w:rPr>
            </w:pPr>
            <w:r>
              <w:rPr>
                <w:rFonts w:eastAsia="宋体"/>
                <w:bCs/>
                <w:color w:val="auto"/>
                <w:szCs w:val="21"/>
              </w:rPr>
              <w:t>液体填充玩具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48</w:t>
            </w:r>
          </w:p>
        </w:tc>
        <w:tc>
          <w:tcPr>
            <w:tcW w:w="2617" w:type="pct"/>
            <w:vAlign w:val="center"/>
          </w:tcPr>
          <w:p>
            <w:pPr>
              <w:spacing w:line="320" w:lineRule="exact"/>
              <w:jc w:val="center"/>
              <w:rPr>
                <w:rFonts w:eastAsia="宋体"/>
                <w:bCs/>
                <w:color w:val="auto"/>
                <w:szCs w:val="21"/>
              </w:rPr>
            </w:pPr>
            <w:r>
              <w:rPr>
                <w:rFonts w:eastAsia="宋体"/>
                <w:bCs/>
                <w:color w:val="auto"/>
                <w:szCs w:val="21"/>
              </w:rPr>
              <w:t>口动玩具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49</w:t>
            </w:r>
          </w:p>
        </w:tc>
        <w:tc>
          <w:tcPr>
            <w:tcW w:w="2617" w:type="pct"/>
            <w:vAlign w:val="center"/>
          </w:tcPr>
          <w:p>
            <w:pPr>
              <w:spacing w:line="320" w:lineRule="exact"/>
              <w:jc w:val="center"/>
              <w:rPr>
                <w:rFonts w:eastAsia="宋体"/>
                <w:bCs/>
                <w:color w:val="auto"/>
                <w:szCs w:val="21"/>
              </w:rPr>
            </w:pPr>
            <w:r>
              <w:rPr>
                <w:rFonts w:eastAsia="宋体"/>
                <w:color w:val="auto"/>
                <w:kern w:val="0"/>
                <w:szCs w:val="21"/>
              </w:rPr>
              <w:t>玩具滚轴溜冰鞋、单排滚轴溜冰鞋及玩具滑板</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50</w:t>
            </w:r>
          </w:p>
        </w:tc>
        <w:tc>
          <w:tcPr>
            <w:tcW w:w="2617" w:type="pct"/>
            <w:vAlign w:val="center"/>
          </w:tcPr>
          <w:p>
            <w:pPr>
              <w:spacing w:line="320" w:lineRule="exact"/>
              <w:jc w:val="center"/>
              <w:rPr>
                <w:rFonts w:eastAsia="宋体"/>
                <w:bCs/>
                <w:color w:val="auto"/>
                <w:szCs w:val="21"/>
              </w:rPr>
            </w:pPr>
            <w:r>
              <w:rPr>
                <w:rFonts w:eastAsia="宋体"/>
                <w:color w:val="auto"/>
                <w:kern w:val="0"/>
                <w:szCs w:val="21"/>
              </w:rPr>
              <w:t>玩具火药帽</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51</w:t>
            </w:r>
          </w:p>
        </w:tc>
        <w:tc>
          <w:tcPr>
            <w:tcW w:w="2617" w:type="pct"/>
            <w:vAlign w:val="center"/>
          </w:tcPr>
          <w:p>
            <w:pPr>
              <w:spacing w:line="320" w:lineRule="exact"/>
              <w:jc w:val="center"/>
              <w:rPr>
                <w:rFonts w:eastAsia="宋体"/>
                <w:bCs/>
                <w:color w:val="auto"/>
                <w:szCs w:val="21"/>
              </w:rPr>
            </w:pPr>
            <w:r>
              <w:rPr>
                <w:rFonts w:eastAsia="宋体"/>
                <w:bCs/>
                <w:color w:val="auto"/>
                <w:szCs w:val="21"/>
              </w:rPr>
              <w:t>声响要求</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52</w:t>
            </w:r>
          </w:p>
        </w:tc>
        <w:tc>
          <w:tcPr>
            <w:tcW w:w="2617" w:type="pct"/>
            <w:vAlign w:val="center"/>
          </w:tcPr>
          <w:p>
            <w:pPr>
              <w:spacing w:line="320" w:lineRule="exact"/>
              <w:jc w:val="center"/>
              <w:rPr>
                <w:rFonts w:eastAsia="宋体"/>
                <w:bCs/>
                <w:color w:val="auto"/>
                <w:szCs w:val="21"/>
              </w:rPr>
            </w:pPr>
            <w:r>
              <w:rPr>
                <w:rFonts w:eastAsia="宋体"/>
                <w:bCs/>
                <w:color w:val="auto"/>
                <w:szCs w:val="21"/>
              </w:rPr>
              <w:t>磁体和磁性部件</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000" w:type="pct"/>
            <w:gridSpan w:val="3"/>
            <w:vAlign w:val="center"/>
          </w:tcPr>
          <w:p>
            <w:pPr>
              <w:pStyle w:val="3"/>
              <w:spacing w:line="320" w:lineRule="exact"/>
              <w:jc w:val="left"/>
              <w:rPr>
                <w:rFonts w:ascii="Times New Roman" w:hAnsi="Times New Roman"/>
                <w:bCs/>
                <w:color w:val="auto"/>
                <w:sz w:val="21"/>
              </w:rPr>
            </w:pPr>
            <w:r>
              <w:rPr>
                <w:rFonts w:hint="eastAsia" w:ascii="Times New Roman" w:hAnsi="Times New Roman"/>
                <w:bCs/>
                <w:color w:val="auto"/>
                <w:sz w:val="21"/>
              </w:rPr>
              <w:t>（二）</w:t>
            </w:r>
            <w:r>
              <w:rPr>
                <w:rFonts w:ascii="Times New Roman" w:hAnsi="Times New Roman"/>
                <w:bCs/>
                <w:color w:val="auto"/>
                <w:sz w:val="21"/>
              </w:rPr>
              <w:t>易燃性能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一般要求</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2</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头戴玩具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3</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化妆服饰</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4</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color w:val="auto"/>
                <w:sz w:val="21"/>
              </w:rPr>
              <w:t>供儿童进入的玩具</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5</w:t>
            </w:r>
          </w:p>
        </w:tc>
        <w:tc>
          <w:tcPr>
            <w:tcW w:w="261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具有毛绒或纺织表面的软体填充玩具（动物和娃娃等）</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000" w:type="pct"/>
            <w:gridSpan w:val="3"/>
            <w:vAlign w:val="center"/>
          </w:tcPr>
          <w:p>
            <w:pPr>
              <w:pStyle w:val="3"/>
              <w:spacing w:line="320" w:lineRule="exact"/>
              <w:jc w:val="left"/>
              <w:rPr>
                <w:rFonts w:ascii="Times New Roman" w:hAnsi="Times New Roman"/>
                <w:bCs/>
                <w:color w:val="auto"/>
                <w:sz w:val="21"/>
              </w:rPr>
            </w:pPr>
            <w:r>
              <w:rPr>
                <w:rFonts w:hint="eastAsia" w:ascii="Times New Roman" w:hAnsi="Times New Roman"/>
                <w:bCs/>
                <w:color w:val="auto"/>
                <w:sz w:val="21"/>
              </w:rPr>
              <w:t>（三）</w:t>
            </w:r>
            <w:r>
              <w:rPr>
                <w:rFonts w:ascii="Times New Roman" w:hAnsi="Times New Roman"/>
                <w:bCs/>
                <w:color w:val="auto"/>
                <w:sz w:val="21"/>
              </w:rPr>
              <w:t>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w:t>
            </w:r>
          </w:p>
        </w:tc>
        <w:tc>
          <w:tcPr>
            <w:tcW w:w="2617" w:type="pct"/>
            <w:vAlign w:val="center"/>
          </w:tcPr>
          <w:p>
            <w:pPr>
              <w:spacing w:line="320" w:lineRule="exact"/>
              <w:jc w:val="center"/>
              <w:rPr>
                <w:rFonts w:eastAsia="宋体"/>
                <w:bCs/>
                <w:color w:val="auto"/>
                <w:szCs w:val="21"/>
              </w:rPr>
            </w:pPr>
            <w:r>
              <w:rPr>
                <w:rFonts w:eastAsia="宋体"/>
                <w:bCs/>
                <w:color w:val="auto"/>
                <w:szCs w:val="21"/>
              </w:rPr>
              <w:t>最大限量要求</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000" w:type="pct"/>
            <w:gridSpan w:val="3"/>
            <w:vAlign w:val="center"/>
          </w:tcPr>
          <w:p>
            <w:pPr>
              <w:pStyle w:val="3"/>
              <w:spacing w:line="320" w:lineRule="exact"/>
              <w:jc w:val="left"/>
              <w:rPr>
                <w:rFonts w:ascii="Times New Roman" w:hAnsi="Times New Roman"/>
                <w:bCs/>
                <w:color w:val="auto"/>
                <w:sz w:val="21"/>
              </w:rPr>
            </w:pPr>
            <w:r>
              <w:rPr>
                <w:rFonts w:hint="eastAsia" w:ascii="Times New Roman" w:hAnsi="Times New Roman"/>
                <w:bCs/>
                <w:color w:val="auto"/>
                <w:sz w:val="21"/>
              </w:rPr>
              <w:t>（四）</w:t>
            </w:r>
            <w:r>
              <w:rPr>
                <w:rFonts w:ascii="Times New Roman" w:hAnsi="Times New Roman"/>
                <w:bCs/>
                <w:color w:val="auto"/>
                <w:sz w:val="21"/>
              </w:rPr>
              <w:t>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1</w:t>
            </w:r>
          </w:p>
        </w:tc>
        <w:tc>
          <w:tcPr>
            <w:tcW w:w="2617" w:type="pct"/>
            <w:vAlign w:val="center"/>
          </w:tcPr>
          <w:p>
            <w:pPr>
              <w:spacing w:line="320" w:lineRule="exact"/>
              <w:jc w:val="center"/>
              <w:rPr>
                <w:rFonts w:eastAsia="宋体"/>
                <w:bCs/>
                <w:color w:val="auto"/>
                <w:szCs w:val="21"/>
              </w:rPr>
            </w:pPr>
            <w:r>
              <w:rPr>
                <w:rFonts w:eastAsia="宋体"/>
                <w:bCs/>
                <w:color w:val="auto"/>
                <w:szCs w:val="21"/>
              </w:rPr>
              <w:t>限定增塑剂限量要求</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000" w:type="pct"/>
            <w:gridSpan w:val="3"/>
            <w:vAlign w:val="center"/>
          </w:tcPr>
          <w:p>
            <w:pPr>
              <w:pStyle w:val="3"/>
              <w:spacing w:line="320" w:lineRule="exact"/>
              <w:jc w:val="left"/>
              <w:rPr>
                <w:rFonts w:ascii="Times New Roman" w:hAnsi="Times New Roman"/>
                <w:bCs/>
                <w:color w:val="auto"/>
                <w:sz w:val="21"/>
              </w:rPr>
            </w:pPr>
            <w:r>
              <w:rPr>
                <w:rFonts w:hint="eastAsia" w:ascii="Times New Roman" w:hAnsi="Times New Roman"/>
                <w:bCs/>
                <w:color w:val="auto"/>
                <w:sz w:val="21"/>
                <w:highlight w:val="none"/>
              </w:rPr>
              <w:t>（五）</w:t>
            </w:r>
            <w:r>
              <w:rPr>
                <w:rFonts w:ascii="Times New Roman" w:hAnsi="Times New Roman"/>
                <w:bCs/>
                <w:color w:val="auto"/>
                <w:sz w:val="21"/>
                <w:highlight w:val="none"/>
              </w:rPr>
              <w:t>电性能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1</w:t>
            </w:r>
          </w:p>
        </w:tc>
        <w:tc>
          <w:tcPr>
            <w:tcW w:w="261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标识和说明</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2</w:t>
            </w:r>
          </w:p>
        </w:tc>
        <w:tc>
          <w:tcPr>
            <w:tcW w:w="2617" w:type="pct"/>
            <w:vAlign w:val="center"/>
          </w:tcPr>
          <w:p>
            <w:pPr>
              <w:widowControl/>
              <w:spacing w:before="100" w:beforeAutospacing="1" w:after="100" w:afterAutospacing="1" w:line="320" w:lineRule="exact"/>
              <w:jc w:val="center"/>
              <w:rPr>
                <w:rFonts w:eastAsia="宋体"/>
                <w:color w:val="auto"/>
                <w:kern w:val="0"/>
                <w:szCs w:val="21"/>
                <w:highlight w:val="none"/>
              </w:rPr>
            </w:pPr>
            <w:r>
              <w:rPr>
                <w:rFonts w:eastAsia="宋体"/>
                <w:color w:val="auto"/>
                <w:kern w:val="0"/>
                <w:szCs w:val="21"/>
                <w:highlight w:val="none"/>
              </w:rPr>
              <w:t>输入功率</w:t>
            </w:r>
          </w:p>
        </w:tc>
        <w:tc>
          <w:tcPr>
            <w:tcW w:w="2036" w:type="pct"/>
            <w:vAlign w:val="center"/>
          </w:tcPr>
          <w:p>
            <w:pPr>
              <w:pStyle w:val="3"/>
              <w:spacing w:line="320" w:lineRule="exact"/>
              <w:jc w:val="center"/>
              <w:rPr>
                <w:rFonts w:ascii="Times New Roman" w:hAnsi="Times New Roman"/>
                <w:bCs/>
                <w:color w:val="auto"/>
                <w:sz w:val="21"/>
                <w:highlight w:val="none"/>
              </w:rPr>
            </w:pPr>
            <w:r>
              <w:rPr>
                <w:rFonts w:ascii="Times New Roman" w:hAnsi="Times New Roman"/>
                <w:bCs/>
                <w:color w:val="auto"/>
                <w:sz w:val="21"/>
                <w:highlight w:val="none"/>
              </w:rPr>
              <w:t>GB 19865—2005</w:t>
            </w:r>
            <w:r>
              <w:rPr>
                <w:rFonts w:hint="eastAsia" w:ascii="Times New Roman" w:hAnsi="Times New Roman"/>
                <w:bCs/>
                <w:color w:val="auto"/>
                <w:sz w:val="21"/>
                <w:highlight w:val="none"/>
                <w:lang w:eastAsia="zh-CN"/>
              </w:rPr>
              <w:t>（</w:t>
            </w:r>
            <w:r>
              <w:rPr>
                <w:rFonts w:ascii="Times New Roman" w:hAnsi="Times New Roman"/>
                <w:bCs/>
                <w:color w:val="auto"/>
                <w:sz w:val="21"/>
                <w:highlight w:val="none"/>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3</w:t>
            </w:r>
          </w:p>
        </w:tc>
        <w:tc>
          <w:tcPr>
            <w:tcW w:w="261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发热和非正常工作</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4</w:t>
            </w:r>
          </w:p>
        </w:tc>
        <w:tc>
          <w:tcPr>
            <w:tcW w:w="261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工作温度下的电气强度</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19865—2005</w:t>
            </w:r>
            <w:r>
              <w:rPr>
                <w:rFonts w:hint="eastAsia" w:ascii="Times New Roman" w:hAnsi="Times New Roman"/>
                <w:bCs/>
                <w:color w:val="auto"/>
                <w:sz w:val="21"/>
                <w:highlight w:val="none"/>
                <w:lang w:eastAsia="zh-CN"/>
              </w:rPr>
              <w:t>（</w:t>
            </w:r>
            <w:r>
              <w:rPr>
                <w:rFonts w:ascii="Times New Roman" w:hAnsi="Times New Roman"/>
                <w:bCs/>
                <w:color w:val="auto"/>
                <w:sz w:val="21"/>
                <w:highlight w:val="none"/>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5</w:t>
            </w:r>
          </w:p>
        </w:tc>
        <w:tc>
          <w:tcPr>
            <w:tcW w:w="261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耐潮湿</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19865—2005</w:t>
            </w:r>
            <w:r>
              <w:rPr>
                <w:rFonts w:hint="eastAsia" w:ascii="Times New Roman" w:hAnsi="Times New Roman"/>
                <w:bCs/>
                <w:color w:val="auto"/>
                <w:sz w:val="21"/>
                <w:highlight w:val="none"/>
                <w:lang w:eastAsia="zh-CN"/>
              </w:rPr>
              <w:t>（</w:t>
            </w:r>
            <w:r>
              <w:rPr>
                <w:rFonts w:ascii="Times New Roman" w:hAnsi="Times New Roman"/>
                <w:bCs/>
                <w:color w:val="auto"/>
                <w:sz w:val="21"/>
                <w:highlight w:val="none"/>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6</w:t>
            </w:r>
          </w:p>
        </w:tc>
        <w:tc>
          <w:tcPr>
            <w:tcW w:w="2617" w:type="pct"/>
            <w:vAlign w:val="center"/>
          </w:tcPr>
          <w:p>
            <w:pPr>
              <w:widowControl/>
              <w:spacing w:before="100" w:beforeAutospacing="1" w:after="100" w:afterAutospacing="1" w:line="320" w:lineRule="exact"/>
              <w:jc w:val="center"/>
              <w:rPr>
                <w:rFonts w:eastAsia="宋体"/>
                <w:color w:val="auto"/>
                <w:kern w:val="0"/>
                <w:szCs w:val="21"/>
              </w:rPr>
            </w:pPr>
            <w:r>
              <w:rPr>
                <w:rFonts w:eastAsia="宋体"/>
                <w:color w:val="auto"/>
                <w:kern w:val="0"/>
                <w:szCs w:val="21"/>
              </w:rPr>
              <w:t>室温下的电气强度</w:t>
            </w:r>
          </w:p>
        </w:tc>
        <w:tc>
          <w:tcPr>
            <w:tcW w:w="2036" w:type="pct"/>
            <w:vAlign w:val="center"/>
          </w:tcPr>
          <w:p>
            <w:pPr>
              <w:pStyle w:val="3"/>
              <w:spacing w:line="320" w:lineRule="exact"/>
              <w:jc w:val="center"/>
              <w:rPr>
                <w:rFonts w:ascii="Times New Roman" w:hAnsi="Times New Roman"/>
                <w:bCs/>
                <w:color w:val="auto"/>
                <w:sz w:val="21"/>
              </w:rPr>
            </w:pPr>
            <w:r>
              <w:rPr>
                <w:rFonts w:ascii="Times New Roman" w:hAnsi="Times New Roman"/>
                <w:bCs/>
                <w:color w:val="auto"/>
                <w:sz w:val="21"/>
              </w:rPr>
              <w:t>GB 19865—2005</w:t>
            </w:r>
            <w:r>
              <w:rPr>
                <w:rFonts w:hint="eastAsia" w:ascii="Times New Roman" w:hAnsi="Times New Roman"/>
                <w:bCs/>
                <w:color w:val="auto"/>
                <w:sz w:val="21"/>
                <w:highlight w:val="none"/>
                <w:lang w:eastAsia="zh-CN"/>
              </w:rPr>
              <w:t>（</w:t>
            </w:r>
            <w:r>
              <w:rPr>
                <w:rFonts w:ascii="Times New Roman" w:hAnsi="Times New Roman"/>
                <w:bCs/>
                <w:color w:val="auto"/>
                <w:sz w:val="21"/>
                <w:highlight w:val="none"/>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7</w:t>
            </w:r>
          </w:p>
        </w:tc>
        <w:tc>
          <w:tcPr>
            <w:tcW w:w="261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机械强度</w:t>
            </w:r>
          </w:p>
        </w:tc>
        <w:tc>
          <w:tcPr>
            <w:tcW w:w="2036" w:type="pct"/>
            <w:vAlign w:val="center"/>
          </w:tcPr>
          <w:p>
            <w:pPr>
              <w:pStyle w:val="3"/>
              <w:spacing w:line="360" w:lineRule="exact"/>
              <w:jc w:val="center"/>
              <w:rPr>
                <w:rFonts w:ascii="Times New Roman" w:hAnsi="Times New Roman"/>
                <w:bCs/>
                <w:color w:val="auto"/>
                <w:sz w:val="21"/>
              </w:rPr>
            </w:pPr>
            <w:r>
              <w:rPr>
                <w:rFonts w:ascii="Times New Roman" w:hAnsi="Times New Roman"/>
                <w:bCs/>
                <w:color w:val="auto"/>
                <w:sz w:val="21"/>
              </w:rPr>
              <w:t>GB 19865—2005</w:t>
            </w:r>
            <w:r>
              <w:rPr>
                <w:rFonts w:hint="eastAsia" w:ascii="Times New Roman" w:hAnsi="Times New Roman"/>
                <w:bCs/>
                <w:color w:val="auto"/>
                <w:sz w:val="21"/>
                <w:highlight w:val="none"/>
                <w:lang w:eastAsia="zh-CN"/>
              </w:rPr>
              <w:t>（</w:t>
            </w:r>
            <w:r>
              <w:rPr>
                <w:rFonts w:ascii="Times New Roman" w:hAnsi="Times New Roman"/>
                <w:bCs/>
                <w:color w:val="auto"/>
                <w:sz w:val="21"/>
                <w:highlight w:val="none"/>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8</w:t>
            </w:r>
          </w:p>
        </w:tc>
        <w:tc>
          <w:tcPr>
            <w:tcW w:w="261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结构</w:t>
            </w:r>
          </w:p>
        </w:tc>
        <w:tc>
          <w:tcPr>
            <w:tcW w:w="2036" w:type="pct"/>
            <w:vAlign w:val="center"/>
          </w:tcPr>
          <w:p>
            <w:pPr>
              <w:pStyle w:val="3"/>
              <w:spacing w:line="360" w:lineRule="exact"/>
              <w:jc w:val="center"/>
              <w:rPr>
                <w:rFonts w:ascii="Times New Roman" w:hAnsi="Times New Roman"/>
                <w:bCs/>
                <w:color w:val="auto"/>
                <w:sz w:val="21"/>
              </w:rPr>
            </w:pPr>
            <w:r>
              <w:rPr>
                <w:rFonts w:ascii="Times New Roman" w:hAnsi="Times New Roman"/>
                <w:bCs/>
                <w:color w:val="auto"/>
                <w:sz w:val="21"/>
              </w:rPr>
              <w:t>GB 19865—2005</w:t>
            </w:r>
            <w:r>
              <w:rPr>
                <w:rFonts w:hint="eastAsia" w:ascii="Times New Roman" w:hAnsi="Times New Roman"/>
                <w:bCs/>
                <w:color w:val="auto"/>
                <w:sz w:val="21"/>
                <w:highlight w:val="none"/>
                <w:lang w:eastAsia="zh-CN"/>
              </w:rPr>
              <w:t>（</w:t>
            </w:r>
            <w:r>
              <w:rPr>
                <w:rFonts w:ascii="Times New Roman" w:hAnsi="Times New Roman"/>
                <w:bCs/>
                <w:color w:val="auto"/>
                <w:sz w:val="21"/>
                <w:highlight w:val="none"/>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9</w:t>
            </w:r>
          </w:p>
        </w:tc>
        <w:tc>
          <w:tcPr>
            <w:tcW w:w="261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软线和电线的保护</w:t>
            </w:r>
          </w:p>
        </w:tc>
        <w:tc>
          <w:tcPr>
            <w:tcW w:w="2036" w:type="pct"/>
            <w:vAlign w:val="center"/>
          </w:tcPr>
          <w:p>
            <w:pPr>
              <w:pStyle w:val="3"/>
              <w:spacing w:line="360" w:lineRule="exact"/>
              <w:jc w:val="center"/>
              <w:rPr>
                <w:rFonts w:ascii="Times New Roman" w:hAnsi="Times New Roman"/>
                <w:bCs/>
                <w:color w:val="auto"/>
                <w:sz w:val="21"/>
              </w:rPr>
            </w:pPr>
            <w:r>
              <w:rPr>
                <w:rFonts w:ascii="Times New Roman" w:hAnsi="Times New Roman"/>
                <w:bCs/>
                <w:color w:val="auto"/>
                <w:sz w:val="21"/>
              </w:rPr>
              <w:t>GB 19865—2005</w:t>
            </w:r>
            <w:r>
              <w:rPr>
                <w:rFonts w:hint="eastAsia" w:ascii="Times New Roman" w:hAnsi="Times New Roman"/>
                <w:bCs/>
                <w:color w:val="auto"/>
                <w:sz w:val="21"/>
                <w:highlight w:val="none"/>
                <w:lang w:eastAsia="zh-CN"/>
              </w:rPr>
              <w:t>（</w:t>
            </w:r>
            <w:r>
              <w:rPr>
                <w:rFonts w:ascii="Times New Roman" w:hAnsi="Times New Roman"/>
                <w:bCs/>
                <w:color w:val="auto"/>
                <w:sz w:val="21"/>
                <w:highlight w:val="none"/>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10</w:t>
            </w:r>
          </w:p>
        </w:tc>
        <w:tc>
          <w:tcPr>
            <w:tcW w:w="261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螺钉和连接</w:t>
            </w:r>
          </w:p>
        </w:tc>
        <w:tc>
          <w:tcPr>
            <w:tcW w:w="2036" w:type="pct"/>
            <w:vAlign w:val="center"/>
          </w:tcPr>
          <w:p>
            <w:pPr>
              <w:pStyle w:val="3"/>
              <w:spacing w:line="360" w:lineRule="exact"/>
              <w:jc w:val="center"/>
              <w:rPr>
                <w:rFonts w:ascii="Times New Roman" w:hAnsi="Times New Roman"/>
                <w:bCs/>
                <w:color w:val="auto"/>
                <w:sz w:val="21"/>
              </w:rPr>
            </w:pPr>
            <w:r>
              <w:rPr>
                <w:rFonts w:ascii="Times New Roman" w:hAnsi="Times New Roman"/>
                <w:bCs/>
                <w:color w:val="auto"/>
                <w:sz w:val="21"/>
              </w:rPr>
              <w:t>GB 19865—2005</w:t>
            </w:r>
            <w:r>
              <w:rPr>
                <w:rFonts w:hint="eastAsia" w:ascii="Times New Roman" w:hAnsi="Times New Roman"/>
                <w:bCs/>
                <w:color w:val="auto"/>
                <w:sz w:val="21"/>
                <w:highlight w:val="none"/>
                <w:lang w:eastAsia="zh-CN"/>
              </w:rPr>
              <w:t>（</w:t>
            </w:r>
            <w:r>
              <w:rPr>
                <w:rFonts w:ascii="Times New Roman" w:hAnsi="Times New Roman"/>
                <w:bCs/>
                <w:color w:val="auto"/>
                <w:sz w:val="21"/>
                <w:highlight w:val="none"/>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11</w:t>
            </w:r>
          </w:p>
        </w:tc>
        <w:tc>
          <w:tcPr>
            <w:tcW w:w="261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电气间隙和爬电距离</w:t>
            </w:r>
          </w:p>
        </w:tc>
        <w:tc>
          <w:tcPr>
            <w:tcW w:w="2036" w:type="pct"/>
            <w:vAlign w:val="center"/>
          </w:tcPr>
          <w:p>
            <w:pPr>
              <w:pStyle w:val="3"/>
              <w:spacing w:line="360" w:lineRule="exact"/>
              <w:jc w:val="center"/>
              <w:rPr>
                <w:rFonts w:ascii="Times New Roman" w:hAnsi="Times New Roman"/>
                <w:bCs/>
                <w:color w:val="auto"/>
                <w:sz w:val="21"/>
              </w:rPr>
            </w:pPr>
            <w:r>
              <w:rPr>
                <w:rFonts w:ascii="Times New Roman" w:hAnsi="Times New Roman"/>
                <w:bCs/>
                <w:color w:val="auto"/>
                <w:sz w:val="21"/>
              </w:rPr>
              <w:t>GB 19865—2005</w:t>
            </w:r>
            <w:r>
              <w:rPr>
                <w:rFonts w:hint="eastAsia" w:ascii="Times New Roman" w:hAnsi="Times New Roman"/>
                <w:bCs/>
                <w:color w:val="auto"/>
                <w:sz w:val="21"/>
                <w:highlight w:val="none"/>
                <w:lang w:eastAsia="zh-CN"/>
              </w:rPr>
              <w:t>（</w:t>
            </w:r>
            <w:r>
              <w:rPr>
                <w:rFonts w:ascii="Times New Roman" w:hAnsi="Times New Roman"/>
                <w:bCs/>
                <w:color w:val="auto"/>
                <w:sz w:val="21"/>
                <w:highlight w:val="none"/>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4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12</w:t>
            </w:r>
          </w:p>
        </w:tc>
        <w:tc>
          <w:tcPr>
            <w:tcW w:w="2617" w:type="pct"/>
            <w:vAlign w:val="center"/>
          </w:tcPr>
          <w:p>
            <w:pPr>
              <w:widowControl/>
              <w:spacing w:before="100" w:beforeAutospacing="1" w:after="100" w:afterAutospacing="1" w:line="360" w:lineRule="exact"/>
              <w:jc w:val="center"/>
              <w:rPr>
                <w:rFonts w:eastAsia="宋体"/>
                <w:color w:val="auto"/>
                <w:kern w:val="0"/>
                <w:szCs w:val="21"/>
              </w:rPr>
            </w:pPr>
            <w:r>
              <w:rPr>
                <w:rFonts w:eastAsia="宋体"/>
                <w:color w:val="auto"/>
                <w:kern w:val="0"/>
                <w:szCs w:val="21"/>
              </w:rPr>
              <w:t>耐热和耐燃</w:t>
            </w:r>
          </w:p>
        </w:tc>
        <w:tc>
          <w:tcPr>
            <w:tcW w:w="2036" w:type="pct"/>
            <w:vAlign w:val="center"/>
          </w:tcPr>
          <w:p>
            <w:pPr>
              <w:pStyle w:val="3"/>
              <w:spacing w:line="360" w:lineRule="exact"/>
              <w:jc w:val="center"/>
              <w:rPr>
                <w:rFonts w:ascii="Times New Roman" w:hAnsi="Times New Roman"/>
                <w:bCs/>
                <w:color w:val="auto"/>
                <w:sz w:val="21"/>
              </w:rPr>
            </w:pPr>
            <w:r>
              <w:rPr>
                <w:rFonts w:ascii="Times New Roman" w:hAnsi="Times New Roman"/>
                <w:bCs/>
                <w:color w:val="auto"/>
                <w:sz w:val="21"/>
              </w:rPr>
              <w:t>GB 19865—2005</w:t>
            </w:r>
            <w:r>
              <w:rPr>
                <w:rFonts w:hint="eastAsia" w:ascii="Times New Roman" w:hAnsi="Times New Roman"/>
                <w:bCs/>
                <w:color w:val="auto"/>
                <w:sz w:val="21"/>
                <w:highlight w:val="none"/>
                <w:lang w:eastAsia="zh-CN"/>
              </w:rPr>
              <w:t>（</w:t>
            </w:r>
            <w:r>
              <w:rPr>
                <w:rFonts w:ascii="Times New Roman" w:hAnsi="Times New Roman"/>
                <w:bCs/>
                <w:color w:val="auto"/>
                <w:sz w:val="21"/>
                <w:highlight w:val="none"/>
              </w:rPr>
              <w:t>含第1号修改单）</w:t>
            </w:r>
          </w:p>
        </w:tc>
      </w:tr>
    </w:tbl>
    <w:p>
      <w:pPr>
        <w:adjustRightInd w:val="0"/>
        <w:snapToGrid w:val="0"/>
        <w:spacing w:line="360" w:lineRule="auto"/>
        <w:ind w:firstLine="420" w:firstLineChars="200"/>
        <w:rPr>
          <w:color w:val="auto"/>
          <w:szCs w:val="32"/>
        </w:rPr>
      </w:pPr>
      <w:r>
        <w:rPr>
          <w:color w:val="auto"/>
          <w:szCs w:val="32"/>
        </w:rPr>
        <w:t>备注：</w:t>
      </w:r>
    </w:p>
    <w:p>
      <w:pPr>
        <w:adjustRightInd w:val="0"/>
        <w:snapToGrid w:val="0"/>
        <w:spacing w:line="360" w:lineRule="auto"/>
        <w:ind w:firstLine="420" w:firstLineChars="200"/>
        <w:rPr>
          <w:color w:val="auto"/>
          <w:szCs w:val="32"/>
        </w:rPr>
      </w:pPr>
      <w:r>
        <w:rPr>
          <w:color w:val="auto"/>
          <w:szCs w:val="32"/>
        </w:rPr>
        <w:t>1</w:t>
      </w:r>
      <w:r>
        <w:rPr>
          <w:rFonts w:hint="eastAsia"/>
          <w:color w:val="auto"/>
          <w:szCs w:val="32"/>
        </w:rPr>
        <w:t>．</w:t>
      </w:r>
      <w:r>
        <w:rPr>
          <w:color w:val="auto"/>
          <w:szCs w:val="32"/>
        </w:rPr>
        <w:t>进行GB 19865—2005测试前应按标准第5章进行预处理。</w:t>
      </w:r>
    </w:p>
    <w:p>
      <w:pPr>
        <w:adjustRightInd w:val="0"/>
        <w:snapToGrid w:val="0"/>
        <w:spacing w:line="360" w:lineRule="auto"/>
        <w:ind w:firstLine="420" w:firstLineChars="200"/>
        <w:rPr>
          <w:color w:val="auto"/>
          <w:szCs w:val="32"/>
        </w:rPr>
      </w:pPr>
      <w:r>
        <w:rPr>
          <w:rFonts w:hint="eastAsia"/>
          <w:color w:val="auto"/>
          <w:szCs w:val="32"/>
        </w:rPr>
        <w:t>2．</w:t>
      </w:r>
      <w:r>
        <w:rPr>
          <w:color w:val="auto"/>
          <w:szCs w:val="32"/>
        </w:rPr>
        <w:t>本细则所指的玩具为塑胶玩具、弹射玩具、毛绒布制玩具、电玩具、儿童地垫、化学及类似实验玩具、泡泡水、乘骑车辆玩具(除电动童车)、充气水上玩具(除儿童泳圈)、磁性玩具、儿童爬行地垫、附赠玩具、金属玩具、木制玩具、泥类玩具、娃娃玩具、造型粘土、纸质玩具等。</w:t>
      </w:r>
    </w:p>
    <w:p>
      <w:pPr>
        <w:adjustRightInd w:val="0"/>
        <w:snapToGrid w:val="0"/>
        <w:spacing w:line="360" w:lineRule="auto"/>
        <w:ind w:firstLine="420" w:firstLineChars="200"/>
        <w:rPr>
          <w:color w:val="auto"/>
          <w:szCs w:val="32"/>
        </w:rPr>
      </w:pPr>
      <w:r>
        <w:rPr>
          <w:color w:val="auto"/>
          <w:szCs w:val="32"/>
        </w:rPr>
        <w:t>执行企业标准、团体标准、地方标准的产品，检验项目参照上述内容执行。</w:t>
      </w:r>
    </w:p>
    <w:p>
      <w:pPr>
        <w:snapToGrid w:val="0"/>
        <w:spacing w:line="560" w:lineRule="exact"/>
        <w:ind w:firstLine="420" w:firstLineChars="200"/>
        <w:rPr>
          <w:color w:val="auto"/>
          <w:szCs w:val="32"/>
        </w:rPr>
      </w:pPr>
      <w:r>
        <w:rPr>
          <w:rFonts w:hint="eastAsia" w:eastAsia="黑体"/>
          <w:color w:val="auto"/>
          <w:szCs w:val="32"/>
        </w:rPr>
        <w:t xml:space="preserve">3 </w:t>
      </w:r>
      <w:r>
        <w:rPr>
          <w:rFonts w:eastAsia="黑体"/>
          <w:color w:val="auto"/>
          <w:szCs w:val="32"/>
        </w:rPr>
        <w:t>判定规则</w:t>
      </w:r>
    </w:p>
    <w:p>
      <w:pPr>
        <w:snapToGrid w:val="0"/>
        <w:spacing w:line="560" w:lineRule="exact"/>
        <w:ind w:firstLine="420" w:firstLineChars="200"/>
        <w:rPr>
          <w:color w:val="auto"/>
          <w:szCs w:val="32"/>
        </w:rPr>
      </w:pPr>
      <w:r>
        <w:rPr>
          <w:rFonts w:hint="eastAsia"/>
          <w:color w:val="auto"/>
          <w:szCs w:val="32"/>
        </w:rPr>
        <w:t>3.1</w:t>
      </w:r>
      <w:r>
        <w:rPr>
          <w:color w:val="auto"/>
          <w:szCs w:val="32"/>
        </w:rPr>
        <w:t>依据标准</w:t>
      </w:r>
    </w:p>
    <w:p>
      <w:pPr>
        <w:adjustRightInd w:val="0"/>
        <w:snapToGrid w:val="0"/>
        <w:spacing w:line="360" w:lineRule="auto"/>
        <w:ind w:firstLine="420" w:firstLineChars="200"/>
        <w:rPr>
          <w:color w:val="auto"/>
          <w:szCs w:val="32"/>
        </w:rPr>
      </w:pPr>
      <w:r>
        <w:rPr>
          <w:color w:val="auto"/>
          <w:szCs w:val="32"/>
        </w:rPr>
        <w:t>GB 6675.1—2014 玩具安全  第1部分：基本规范</w:t>
      </w:r>
    </w:p>
    <w:p>
      <w:pPr>
        <w:adjustRightInd w:val="0"/>
        <w:snapToGrid w:val="0"/>
        <w:spacing w:line="360" w:lineRule="auto"/>
        <w:ind w:firstLine="420" w:firstLineChars="200"/>
        <w:rPr>
          <w:color w:val="auto"/>
          <w:szCs w:val="32"/>
        </w:rPr>
      </w:pPr>
      <w:r>
        <w:rPr>
          <w:color w:val="auto"/>
          <w:szCs w:val="32"/>
        </w:rPr>
        <w:t>GB 6675.2—2014 玩具安全  第2部分：机械与物理性能</w:t>
      </w:r>
      <w:r>
        <w:rPr>
          <w:color w:val="auto"/>
          <w:kern w:val="0"/>
          <w:szCs w:val="32"/>
        </w:rPr>
        <w:t>（含第1号修改单）</w:t>
      </w:r>
    </w:p>
    <w:p>
      <w:pPr>
        <w:adjustRightInd w:val="0"/>
        <w:snapToGrid w:val="0"/>
        <w:spacing w:line="360" w:lineRule="auto"/>
        <w:ind w:firstLine="420" w:firstLineChars="200"/>
        <w:rPr>
          <w:color w:val="auto"/>
          <w:szCs w:val="32"/>
        </w:rPr>
      </w:pPr>
      <w:r>
        <w:rPr>
          <w:color w:val="auto"/>
          <w:szCs w:val="32"/>
        </w:rPr>
        <w:t>GB 6675.3—2014 玩具安全  第3部分：易燃性能</w:t>
      </w:r>
    </w:p>
    <w:p>
      <w:pPr>
        <w:adjustRightInd w:val="0"/>
        <w:snapToGrid w:val="0"/>
        <w:spacing w:line="360" w:lineRule="auto"/>
        <w:ind w:firstLine="420" w:firstLineChars="200"/>
        <w:rPr>
          <w:color w:val="auto"/>
          <w:szCs w:val="32"/>
        </w:rPr>
      </w:pPr>
      <w:r>
        <w:rPr>
          <w:color w:val="auto"/>
          <w:szCs w:val="32"/>
        </w:rPr>
        <w:t>GB 6675.4—2014 玩具安全  第4部分：特定元素的迁移</w:t>
      </w:r>
    </w:p>
    <w:p>
      <w:pPr>
        <w:adjustRightInd w:val="0"/>
        <w:snapToGrid w:val="0"/>
        <w:spacing w:line="360" w:lineRule="auto"/>
        <w:ind w:firstLine="420" w:firstLineChars="200"/>
        <w:rPr>
          <w:color w:val="auto"/>
          <w:kern w:val="0"/>
          <w:szCs w:val="32"/>
        </w:rPr>
      </w:pPr>
      <w:r>
        <w:rPr>
          <w:color w:val="auto"/>
          <w:kern w:val="0"/>
          <w:szCs w:val="32"/>
        </w:rPr>
        <w:t>GB 19865</w:t>
      </w:r>
      <w:r>
        <w:rPr>
          <w:color w:val="auto"/>
          <w:szCs w:val="32"/>
        </w:rPr>
        <w:t>—</w:t>
      </w:r>
      <w:r>
        <w:rPr>
          <w:color w:val="auto"/>
          <w:kern w:val="0"/>
          <w:szCs w:val="32"/>
        </w:rPr>
        <w:t>2005 电玩具的安全（含第1号修改单）（适用于带电玩具）</w:t>
      </w:r>
    </w:p>
    <w:p>
      <w:pPr>
        <w:adjustRightInd w:val="0"/>
        <w:snapToGrid w:val="0"/>
        <w:spacing w:line="360" w:lineRule="auto"/>
        <w:ind w:firstLine="420" w:firstLineChars="200"/>
        <w:rPr>
          <w:color w:val="auto"/>
          <w:szCs w:val="32"/>
        </w:rPr>
      </w:pPr>
      <w:r>
        <w:rPr>
          <w:color w:val="auto"/>
          <w:szCs w:val="32"/>
        </w:rPr>
        <w:t>GB 6675.12—2014 玩具安全第12部分：玩具滑板车（适用于玩具滑板车）</w:t>
      </w:r>
    </w:p>
    <w:p>
      <w:pPr>
        <w:adjustRightInd w:val="0"/>
        <w:snapToGrid w:val="0"/>
        <w:spacing w:line="360" w:lineRule="auto"/>
        <w:ind w:firstLine="420" w:firstLineChars="200"/>
        <w:rPr>
          <w:color w:val="auto"/>
          <w:szCs w:val="32"/>
        </w:rPr>
      </w:pPr>
      <w:r>
        <w:rPr>
          <w:color w:val="auto"/>
          <w:szCs w:val="32"/>
        </w:rPr>
        <w:t>GB 26387—2011 玩具安全化学及类似活动的实验玩具（适用于化学及类似实验玩具）</w:t>
      </w:r>
    </w:p>
    <w:p>
      <w:pPr>
        <w:adjustRightInd w:val="0"/>
        <w:snapToGrid w:val="0"/>
        <w:spacing w:line="360" w:lineRule="auto"/>
        <w:ind w:firstLine="420" w:firstLineChars="200"/>
        <w:rPr>
          <w:color w:val="auto"/>
          <w:szCs w:val="32"/>
        </w:rPr>
      </w:pPr>
      <w:r>
        <w:rPr>
          <w:color w:val="auto"/>
          <w:szCs w:val="32"/>
        </w:rPr>
        <w:t>GB/T 22048—2022 玩具及儿童用品中特定邻苯二甲酸酯增塑剂的测定</w:t>
      </w:r>
    </w:p>
    <w:p>
      <w:pPr>
        <w:snapToGrid w:val="0"/>
        <w:spacing w:line="360" w:lineRule="auto"/>
        <w:ind w:firstLine="359" w:firstLineChars="171"/>
        <w:rPr>
          <w:color w:val="auto"/>
          <w:szCs w:val="32"/>
        </w:rPr>
      </w:pPr>
      <w:r>
        <w:rPr>
          <w:color w:val="auto"/>
          <w:szCs w:val="32"/>
        </w:rPr>
        <w:t>现行有效的企业标准、团体标准、地方标准及产品明示质量要求</w:t>
      </w:r>
    </w:p>
    <w:p>
      <w:pPr>
        <w:snapToGrid w:val="0"/>
        <w:spacing w:line="560" w:lineRule="exact"/>
        <w:ind w:firstLine="420" w:firstLineChars="200"/>
        <w:rPr>
          <w:color w:val="auto"/>
          <w:szCs w:val="32"/>
        </w:rPr>
      </w:pPr>
      <w:r>
        <w:rPr>
          <w:rFonts w:hint="eastAsia"/>
          <w:color w:val="auto"/>
          <w:szCs w:val="32"/>
        </w:rPr>
        <w:t>3.2</w:t>
      </w:r>
      <w:r>
        <w:rPr>
          <w:color w:val="auto"/>
          <w:szCs w:val="32"/>
        </w:rPr>
        <w:t>判定原则</w:t>
      </w:r>
    </w:p>
    <w:p>
      <w:pPr>
        <w:snapToGrid w:val="0"/>
        <w:spacing w:line="440" w:lineRule="exact"/>
        <w:ind w:firstLine="420" w:firstLineChars="200"/>
        <w:rPr>
          <w:rFonts w:ascii="宋体" w:hAnsi="宋体"/>
          <w:color w:val="auto"/>
          <w:szCs w:val="21"/>
        </w:rPr>
      </w:pPr>
      <w:r>
        <w:rPr>
          <w:rFonts w:hint="eastAsia" w:ascii="宋体" w:hAnsi="宋体"/>
          <w:color w:val="auto"/>
          <w:szCs w:val="21"/>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rFonts w:hint="eastAsia" w:ascii="宋体" w:hAnsi="宋体"/>
          <w:color w:val="auto"/>
          <w:szCs w:val="21"/>
        </w:rPr>
      </w:pPr>
      <w:r>
        <w:rPr>
          <w:rFonts w:hint="eastAsia" w:ascii="宋体" w:hAnsi="宋体"/>
          <w:color w:val="auto"/>
          <w:szCs w:val="21"/>
        </w:rPr>
        <w:t>若被检产品明示的质量要求高于本细则中检验项目依据的标准要求时，应按被检产品明示的质量要求判定。</w:t>
      </w:r>
    </w:p>
    <w:p>
      <w:pPr>
        <w:snapToGrid w:val="0"/>
        <w:spacing w:line="440" w:lineRule="exact"/>
        <w:ind w:firstLine="420" w:firstLineChars="200"/>
        <w:rPr>
          <w:rFonts w:hint="eastAsia" w:ascii="宋体" w:hAnsi="宋体"/>
          <w:color w:val="auto"/>
          <w:szCs w:val="21"/>
        </w:rPr>
      </w:pPr>
      <w:r>
        <w:rPr>
          <w:rFonts w:hint="eastAsia" w:ascii="宋体" w:hAnsi="宋体"/>
          <w:color w:val="auto"/>
          <w:szCs w:val="21"/>
        </w:rPr>
        <w:t>若被检产品明示的质量要求低于本细则中检验项目依据的强制性标准要求时，应按照强制性标准要求判定。</w:t>
      </w:r>
    </w:p>
    <w:p>
      <w:pPr>
        <w:snapToGrid w:val="0"/>
        <w:spacing w:line="440" w:lineRule="exact"/>
        <w:ind w:firstLine="420" w:firstLineChars="200"/>
        <w:rPr>
          <w:rFonts w:hint="eastAsia" w:ascii="宋体" w:hAnsi="宋体"/>
          <w:color w:val="auto"/>
          <w:szCs w:val="21"/>
        </w:rPr>
      </w:pPr>
      <w:r>
        <w:rPr>
          <w:rFonts w:hint="eastAsia" w:ascii="宋体" w:hAnsi="宋体"/>
          <w:color w:val="auto"/>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hint="eastAsia" w:ascii="宋体" w:hAnsi="宋体"/>
          <w:color w:val="auto"/>
          <w:szCs w:val="21"/>
        </w:rPr>
      </w:pPr>
      <w:r>
        <w:rPr>
          <w:rFonts w:hint="eastAsia" w:ascii="宋体" w:hAnsi="宋体"/>
          <w:color w:val="auto"/>
          <w:szCs w:val="21"/>
        </w:rPr>
        <w:t>若被检产品明示的质量要求缺少本细则中检验项目依据的强制性标准要求时，应按照强制性标准要求判定。</w:t>
      </w:r>
    </w:p>
    <w:p>
      <w:pPr>
        <w:snapToGrid w:val="0"/>
        <w:spacing w:line="440" w:lineRule="exact"/>
        <w:ind w:firstLine="420" w:firstLineChars="200"/>
        <w:rPr>
          <w:color w:val="auto"/>
        </w:rPr>
      </w:pPr>
      <w:r>
        <w:rPr>
          <w:rFonts w:hint="eastAsia" w:ascii="宋体" w:hAnsi="宋体"/>
          <w:color w:val="auto"/>
          <w:szCs w:val="21"/>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NzcwZWNlOWVmM2VlMWE2ZDllYWI1MTdkNzFmZGYifQ=="/>
  </w:docVars>
  <w:rsids>
    <w:rsidRoot w:val="0060687D"/>
    <w:rsid w:val="000B1856"/>
    <w:rsid w:val="00115D1F"/>
    <w:rsid w:val="002B0A18"/>
    <w:rsid w:val="003F2B62"/>
    <w:rsid w:val="00443A42"/>
    <w:rsid w:val="00473BC1"/>
    <w:rsid w:val="004C31C6"/>
    <w:rsid w:val="0060531B"/>
    <w:rsid w:val="006058C9"/>
    <w:rsid w:val="0060687D"/>
    <w:rsid w:val="006D5155"/>
    <w:rsid w:val="0077433B"/>
    <w:rsid w:val="00797183"/>
    <w:rsid w:val="009474A2"/>
    <w:rsid w:val="0098299A"/>
    <w:rsid w:val="009C11A8"/>
    <w:rsid w:val="009D3AE2"/>
    <w:rsid w:val="00A00F2C"/>
    <w:rsid w:val="00A11275"/>
    <w:rsid w:val="00A35435"/>
    <w:rsid w:val="00A356A1"/>
    <w:rsid w:val="00A86BFD"/>
    <w:rsid w:val="00AC2F59"/>
    <w:rsid w:val="00B1421C"/>
    <w:rsid w:val="00B916E2"/>
    <w:rsid w:val="00C62DD6"/>
    <w:rsid w:val="00D63862"/>
    <w:rsid w:val="00DA7871"/>
    <w:rsid w:val="00F068FE"/>
    <w:rsid w:val="00FA10BE"/>
    <w:rsid w:val="27022496"/>
    <w:rsid w:val="2E4A3EA2"/>
    <w:rsid w:val="68633991"/>
    <w:rsid w:val="7F421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99"/>
    <w:pPr>
      <w:jc w:val="left"/>
    </w:pPr>
  </w:style>
  <w:style w:type="paragraph" w:styleId="3">
    <w:name w:val="Plain Text"/>
    <w:basedOn w:val="1"/>
    <w:link w:val="12"/>
    <w:autoRedefine/>
    <w:unhideWhenUsed/>
    <w:qFormat/>
    <w:uiPriority w:val="99"/>
    <w:rPr>
      <w:rFonts w:ascii="宋体" w:hAnsi="Courier New" w:eastAsia="宋体" w:cs="Times New Roman"/>
      <w:sz w:val="32"/>
      <w:szCs w:val="21"/>
    </w:rPr>
  </w:style>
  <w:style w:type="paragraph" w:styleId="4">
    <w:name w:val="Balloon Text"/>
    <w:basedOn w:val="1"/>
    <w:link w:val="19"/>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autoRedefine/>
    <w:unhideWhenUsed/>
    <w:qFormat/>
    <w:uiPriority w:val="99"/>
    <w:pPr>
      <w:widowControl w:val="0"/>
      <w:spacing w:before="100" w:beforeAutospacing="1" w:after="100" w:afterAutospacing="1"/>
      <w:jc w:val="both"/>
    </w:pPr>
    <w:rPr>
      <w:rFonts w:ascii="Calibri" w:hAnsi="Calibri" w:eastAsia="宋体" w:cs="Times New Roman"/>
      <w:kern w:val="2"/>
      <w:sz w:val="24"/>
      <w:szCs w:val="24"/>
      <w:lang w:val="en-US" w:eastAsia="zh-CN" w:bidi="ar-SA"/>
    </w:rPr>
  </w:style>
  <w:style w:type="paragraph" w:styleId="8">
    <w:name w:val="annotation subject"/>
    <w:basedOn w:val="2"/>
    <w:next w:val="2"/>
    <w:link w:val="18"/>
    <w:autoRedefine/>
    <w:semiHidden/>
    <w:unhideWhenUsed/>
    <w:qFormat/>
    <w:uiPriority w:val="99"/>
    <w:rPr>
      <w:b/>
      <w:bCs/>
    </w:rPr>
  </w:style>
  <w:style w:type="character" w:styleId="11">
    <w:name w:val="annotation reference"/>
    <w:basedOn w:val="10"/>
    <w:autoRedefine/>
    <w:semiHidden/>
    <w:unhideWhenUsed/>
    <w:qFormat/>
    <w:uiPriority w:val="99"/>
    <w:rPr>
      <w:sz w:val="21"/>
      <w:szCs w:val="21"/>
    </w:rPr>
  </w:style>
  <w:style w:type="character" w:customStyle="1" w:styleId="12">
    <w:name w:val="纯文本 Char"/>
    <w:basedOn w:val="10"/>
    <w:link w:val="3"/>
    <w:autoRedefine/>
    <w:qFormat/>
    <w:uiPriority w:val="99"/>
    <w:rPr>
      <w:rFonts w:ascii="宋体" w:hAnsi="Courier New" w:eastAsia="宋体" w:cs="Times New Roman"/>
      <w:sz w:val="32"/>
      <w:szCs w:val="21"/>
    </w:rPr>
  </w:style>
  <w:style w:type="paragraph" w:customStyle="1" w:styleId="13">
    <w:name w:val="样式1 标题（方正小标宋简体）"/>
    <w:autoRedefine/>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 w:type="paragraph" w:customStyle="1" w:styleId="14">
    <w:name w:val="样式2 标题（楷体三号）"/>
    <w:autoRedefine/>
    <w:qFormat/>
    <w:uiPriority w:val="0"/>
    <w:pPr>
      <w:widowControl w:val="0"/>
      <w:spacing w:line="560" w:lineRule="exact"/>
      <w:jc w:val="center"/>
    </w:pPr>
    <w:rPr>
      <w:rFonts w:hint="eastAsia" w:ascii="楷体_GB2312" w:hAnsi="楷体_GB2312" w:eastAsia="楷体_GB2312" w:cs="楷体_GB2312"/>
      <w:kern w:val="2"/>
      <w:sz w:val="32"/>
      <w:szCs w:val="32"/>
      <w:lang w:val="en-US" w:eastAsia="zh-CN" w:bidi="ar-SA"/>
    </w:rPr>
  </w:style>
  <w:style w:type="character" w:customStyle="1" w:styleId="15">
    <w:name w:val="页眉 Char"/>
    <w:basedOn w:val="10"/>
    <w:link w:val="6"/>
    <w:autoRedefine/>
    <w:qFormat/>
    <w:uiPriority w:val="99"/>
    <w:rPr>
      <w:sz w:val="18"/>
      <w:szCs w:val="18"/>
    </w:rPr>
  </w:style>
  <w:style w:type="character" w:customStyle="1" w:styleId="16">
    <w:name w:val="页脚 Char"/>
    <w:basedOn w:val="10"/>
    <w:link w:val="5"/>
    <w:autoRedefine/>
    <w:qFormat/>
    <w:uiPriority w:val="99"/>
    <w:rPr>
      <w:sz w:val="18"/>
      <w:szCs w:val="18"/>
    </w:rPr>
  </w:style>
  <w:style w:type="character" w:customStyle="1" w:styleId="17">
    <w:name w:val="批注文字 Char"/>
    <w:basedOn w:val="10"/>
    <w:link w:val="2"/>
    <w:autoRedefine/>
    <w:semiHidden/>
    <w:qFormat/>
    <w:uiPriority w:val="99"/>
  </w:style>
  <w:style w:type="character" w:customStyle="1" w:styleId="18">
    <w:name w:val="批注主题 Char"/>
    <w:basedOn w:val="17"/>
    <w:link w:val="8"/>
    <w:autoRedefine/>
    <w:semiHidden/>
    <w:qFormat/>
    <w:uiPriority w:val="99"/>
    <w:rPr>
      <w:b/>
      <w:bCs/>
    </w:rPr>
  </w:style>
  <w:style w:type="character" w:customStyle="1" w:styleId="19">
    <w:name w:val="批注框文本 Char"/>
    <w:basedOn w:val="10"/>
    <w:link w:val="4"/>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2206</Words>
  <Characters>1273</Characters>
  <Lines>10</Lines>
  <Paragraphs>6</Paragraphs>
  <TotalTime>0</TotalTime>
  <ScaleCrop>false</ScaleCrop>
  <LinksUpToDate>false</LinksUpToDate>
  <CharactersWithSpaces>3473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2025-07-11T02:46:00Z</dcterms:created>
  <dc:creator>AutoBVT</dc:creator>
  <cp:lastModifiedBy>小花花</cp:lastModifiedBy>
  <dcterms:modified xsi:type="dcterms:W3CDTF">2025-07-30T09:46:42Z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682250ACDDCD4053AD0E87B82895C639_12</vt:lpwstr>
  </property>
</Properties>
</file>