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 w:after="100" w:afterAutospacing="1" w:line="360" w:lineRule="auto"/>
        <w:jc w:val="left"/>
        <w:rPr>
          <w:szCs w:val="24"/>
        </w:rPr>
      </w:pPr>
      <w:r>
        <w:rPr>
          <w:rFonts w:hint="eastAsia"/>
          <w:szCs w:val="24"/>
        </w:rPr>
        <w:t>附表：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潭江广东鲂国家级水产种质资源保护区生态修复增殖放流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鱼苗采购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询价表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单位：万尾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889"/>
        <w:gridCol w:w="1517"/>
        <w:gridCol w:w="15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品种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规格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标的规格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标的数量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广东鲂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鲩鱼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鳙鱼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鲢鱼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鲮鱼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备注：1、以上标的总价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万元不变，供应商根据自身实际情况填写标的鱼苗规格和数量，评委会以综合指标为评标标准。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2、</w:t>
      </w:r>
      <w:r>
        <w:rPr>
          <w:rFonts w:hint="eastAsia"/>
          <w:sz w:val="28"/>
          <w:szCs w:val="28"/>
          <w:lang w:eastAsia="zh-CN"/>
        </w:rPr>
        <w:t>鱼苗必须为本地种，本次服务报总价为人民币</w:t>
      </w:r>
      <w:r>
        <w:rPr>
          <w:rFonts w:hint="eastAsia"/>
          <w:sz w:val="28"/>
          <w:szCs w:val="28"/>
          <w:lang w:val="en-US" w:eastAsia="zh-CN"/>
        </w:rPr>
        <w:t>400000</w:t>
      </w:r>
      <w:r>
        <w:rPr>
          <w:rFonts w:hint="eastAsia"/>
          <w:sz w:val="28"/>
          <w:szCs w:val="28"/>
          <w:lang w:eastAsia="zh-CN"/>
        </w:rPr>
        <w:t>元，包括购买放流苗种、苗种检测、苗种检验检疫、暂养、氧气、包装、运输、运送放流工具、雇工、宣传、码头租赁、公证、录制影像资料等所有费用。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供应商（或者委托人）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确认签名（盖章）：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suannai</cp:lastModifiedBy>
  <dcterms:modified xsi:type="dcterms:W3CDTF">2025-05-14T01:51:10Z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