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6592D3">
      <w:pPr>
        <w:spacing w:before="100" w:after="100" w:line="360" w:lineRule="auto"/>
        <w:jc w:val="center"/>
        <w:rPr>
          <w:rFonts w:ascii="宋体" w:hAnsi="宋体" w:eastAsia="宋体"/>
          <w:b/>
          <w:sz w:val="56"/>
          <w:szCs w:val="56"/>
          <w:highlight w:val="none"/>
        </w:rPr>
      </w:pPr>
      <w:bookmarkStart w:id="0" w:name="_Toc458262589"/>
    </w:p>
    <w:p w14:paraId="1439B87F">
      <w:pPr>
        <w:spacing w:before="100" w:after="100" w:line="360" w:lineRule="auto"/>
        <w:jc w:val="center"/>
        <w:outlineLvl w:val="0"/>
        <w:rPr>
          <w:rFonts w:ascii="宋体" w:hAnsi="宋体" w:eastAsia="宋体"/>
          <w:b/>
          <w:sz w:val="52"/>
          <w:szCs w:val="52"/>
          <w:highlight w:val="none"/>
        </w:rPr>
      </w:pPr>
      <w:r>
        <w:rPr>
          <w:rFonts w:hint="eastAsia" w:ascii="宋体" w:hAnsi="宋体" w:eastAsia="宋体"/>
          <w:b/>
          <w:sz w:val="56"/>
          <w:szCs w:val="56"/>
          <w:highlight w:val="none"/>
        </w:rPr>
        <w:t>开平市中医</w:t>
      </w:r>
      <w:bookmarkStart w:id="247" w:name="_GoBack"/>
      <w:bookmarkEnd w:id="247"/>
      <w:r>
        <w:rPr>
          <w:rFonts w:hint="eastAsia" w:ascii="宋体" w:hAnsi="宋体" w:eastAsia="宋体"/>
          <w:b/>
          <w:sz w:val="56"/>
          <w:szCs w:val="56"/>
          <w:highlight w:val="none"/>
        </w:rPr>
        <w:t>院</w:t>
      </w:r>
      <w:r>
        <w:rPr>
          <w:rFonts w:hint="eastAsia" w:ascii="宋体" w:hAnsi="宋体" w:eastAsia="宋体"/>
          <w:b/>
          <w:sz w:val="56"/>
          <w:szCs w:val="56"/>
          <w:highlight w:val="none"/>
          <w:lang w:val="en-US" w:eastAsia="zh-CN"/>
        </w:rPr>
        <w:t>体检系统</w:t>
      </w:r>
      <w:r>
        <w:rPr>
          <w:rFonts w:hint="eastAsia" w:ascii="宋体" w:hAnsi="宋体" w:eastAsia="宋体"/>
          <w:b/>
          <w:sz w:val="56"/>
          <w:szCs w:val="56"/>
          <w:highlight w:val="none"/>
        </w:rPr>
        <w:t>采购项目</w:t>
      </w:r>
    </w:p>
    <w:p w14:paraId="2AA3FAE1">
      <w:pPr>
        <w:spacing w:before="100" w:after="100" w:line="360" w:lineRule="auto"/>
        <w:jc w:val="center"/>
        <w:rPr>
          <w:rFonts w:ascii="宋体" w:hAnsi="宋体" w:eastAsia="宋体"/>
          <w:b/>
          <w:sz w:val="52"/>
          <w:szCs w:val="52"/>
          <w:highlight w:val="none"/>
        </w:rPr>
      </w:pPr>
    </w:p>
    <w:p w14:paraId="2277D171">
      <w:pPr>
        <w:spacing w:before="100" w:after="100" w:line="360" w:lineRule="auto"/>
        <w:jc w:val="center"/>
        <w:rPr>
          <w:rFonts w:ascii="宋体" w:hAnsi="宋体" w:eastAsia="宋体"/>
          <w:b/>
          <w:sz w:val="52"/>
          <w:szCs w:val="52"/>
          <w:highlight w:val="none"/>
        </w:rPr>
      </w:pPr>
    </w:p>
    <w:p w14:paraId="730E5C40">
      <w:pPr>
        <w:spacing w:line="360" w:lineRule="auto"/>
        <w:jc w:val="center"/>
        <w:outlineLvl w:val="0"/>
        <w:rPr>
          <w:rFonts w:ascii="宋体" w:hAnsi="宋体" w:eastAsia="宋体"/>
          <w:b/>
          <w:sz w:val="52"/>
          <w:szCs w:val="52"/>
          <w:highlight w:val="none"/>
        </w:rPr>
      </w:pPr>
      <w:bookmarkStart w:id="1" w:name="_Toc184723185"/>
      <w:r>
        <w:rPr>
          <w:rFonts w:hint="eastAsia" w:ascii="宋体" w:hAnsi="宋体" w:eastAsia="宋体"/>
          <w:b/>
          <w:sz w:val="52"/>
          <w:szCs w:val="52"/>
          <w:highlight w:val="none"/>
        </w:rPr>
        <w:t>遴选</w:t>
      </w:r>
      <w:r>
        <w:rPr>
          <w:rFonts w:ascii="宋体" w:hAnsi="宋体" w:eastAsia="宋体"/>
          <w:b/>
          <w:sz w:val="52"/>
          <w:szCs w:val="52"/>
          <w:highlight w:val="none"/>
        </w:rPr>
        <w:t>文件</w:t>
      </w:r>
      <w:bookmarkEnd w:id="1"/>
    </w:p>
    <w:p w14:paraId="230C2F31">
      <w:pPr>
        <w:spacing w:line="360" w:lineRule="auto"/>
        <w:jc w:val="center"/>
        <w:rPr>
          <w:rFonts w:ascii="宋体" w:hAnsi="宋体" w:eastAsia="宋体"/>
          <w:b/>
          <w:sz w:val="36"/>
          <w:szCs w:val="36"/>
          <w:highlight w:val="none"/>
        </w:rPr>
      </w:pPr>
    </w:p>
    <w:p w14:paraId="2FF19271">
      <w:pPr>
        <w:spacing w:line="360" w:lineRule="auto"/>
        <w:jc w:val="center"/>
        <w:rPr>
          <w:rFonts w:ascii="宋体" w:hAnsi="宋体" w:eastAsia="宋体"/>
          <w:b/>
          <w:sz w:val="36"/>
          <w:szCs w:val="36"/>
          <w:highlight w:val="none"/>
        </w:rPr>
      </w:pPr>
    </w:p>
    <w:p w14:paraId="71093207">
      <w:pPr>
        <w:spacing w:line="360" w:lineRule="auto"/>
        <w:jc w:val="center"/>
        <w:rPr>
          <w:rFonts w:ascii="宋体" w:hAnsi="宋体" w:eastAsia="宋体"/>
          <w:b/>
          <w:sz w:val="36"/>
          <w:szCs w:val="36"/>
          <w:highlight w:val="none"/>
        </w:rPr>
      </w:pPr>
    </w:p>
    <w:p w14:paraId="4AFDC77D">
      <w:pPr>
        <w:spacing w:line="360" w:lineRule="auto"/>
        <w:rPr>
          <w:rFonts w:ascii="宋体" w:hAnsi="宋体" w:eastAsia="宋体"/>
          <w:b/>
          <w:sz w:val="36"/>
          <w:szCs w:val="36"/>
          <w:highlight w:val="none"/>
        </w:rPr>
      </w:pPr>
    </w:p>
    <w:p w14:paraId="1532CEB7">
      <w:pPr>
        <w:spacing w:line="480" w:lineRule="auto"/>
        <w:rPr>
          <w:rFonts w:ascii="宋体" w:hAnsi="宋体" w:eastAsia="宋体"/>
          <w:b/>
          <w:sz w:val="32"/>
          <w:highlight w:val="none"/>
        </w:rPr>
      </w:pPr>
      <w:bookmarkStart w:id="2" w:name="_Hlk169100851"/>
    </w:p>
    <w:p w14:paraId="5C67D21A">
      <w:pPr>
        <w:spacing w:line="480" w:lineRule="auto"/>
        <w:jc w:val="center"/>
        <w:rPr>
          <w:rFonts w:ascii="宋体" w:hAnsi="宋体" w:eastAsia="宋体"/>
          <w:b/>
          <w:sz w:val="32"/>
          <w:highlight w:val="none"/>
        </w:rPr>
      </w:pPr>
      <w:r>
        <w:rPr>
          <w:rFonts w:hint="eastAsia" w:ascii="宋体" w:hAnsi="宋体" w:eastAsia="宋体"/>
          <w:b/>
          <w:sz w:val="32"/>
          <w:highlight w:val="none"/>
        </w:rPr>
        <w:t>开平市中医院</w:t>
      </w:r>
    </w:p>
    <w:p w14:paraId="689AEB13">
      <w:pPr>
        <w:spacing w:line="480" w:lineRule="auto"/>
        <w:jc w:val="center"/>
        <w:rPr>
          <w:rFonts w:ascii="宋体"/>
          <w:highlight w:val="none"/>
        </w:rPr>
        <w:sectPr>
          <w:footerReference r:id="rId7" w:type="first"/>
          <w:headerReference r:id="rId3" w:type="default"/>
          <w:footerReference r:id="rId5" w:type="default"/>
          <w:headerReference r:id="rId4" w:type="even"/>
          <w:footerReference r:id="rId6" w:type="even"/>
          <w:pgSz w:w="11907" w:h="16840"/>
          <w:pgMar w:top="1440" w:right="1304" w:bottom="1440" w:left="1304" w:header="851" w:footer="992" w:gutter="0"/>
          <w:cols w:space="720" w:num="1"/>
          <w:titlePg/>
          <w:docGrid w:linePitch="408" w:charSpace="0"/>
        </w:sectPr>
      </w:pPr>
      <w:r>
        <w:rPr>
          <w:rFonts w:hint="eastAsia" w:ascii="宋体" w:hAnsi="宋体" w:eastAsia="宋体"/>
          <w:b/>
          <w:sz w:val="32"/>
          <w:szCs w:val="32"/>
          <w:highlight w:val="none"/>
        </w:rPr>
        <w:t>2</w:t>
      </w:r>
      <w:r>
        <w:rPr>
          <w:rFonts w:ascii="宋体" w:hAnsi="宋体" w:eastAsia="宋体"/>
          <w:b/>
          <w:sz w:val="32"/>
          <w:szCs w:val="32"/>
          <w:highlight w:val="none"/>
        </w:rPr>
        <w:t>02</w:t>
      </w:r>
      <w:r>
        <w:rPr>
          <w:rFonts w:hint="eastAsia" w:ascii="宋体" w:hAnsi="宋体" w:eastAsia="宋体"/>
          <w:b/>
          <w:sz w:val="32"/>
          <w:szCs w:val="32"/>
          <w:highlight w:val="none"/>
        </w:rPr>
        <w:t>5</w:t>
      </w:r>
      <w:r>
        <w:rPr>
          <w:rFonts w:ascii="宋体" w:hAnsi="宋体" w:eastAsia="宋体"/>
          <w:b/>
          <w:sz w:val="32"/>
          <w:szCs w:val="32"/>
          <w:highlight w:val="none"/>
        </w:rPr>
        <w:t>年</w:t>
      </w:r>
      <w:r>
        <w:rPr>
          <w:rFonts w:hint="eastAsia" w:ascii="宋体" w:hAnsi="宋体" w:eastAsia="宋体"/>
          <w:b/>
          <w:sz w:val="32"/>
          <w:szCs w:val="32"/>
          <w:highlight w:val="none"/>
          <w:lang w:val="en-US" w:eastAsia="zh-CN"/>
        </w:rPr>
        <w:t>4</w:t>
      </w:r>
      <w:r>
        <w:rPr>
          <w:rFonts w:ascii="宋体" w:hAnsi="宋体" w:eastAsia="宋体"/>
          <w:b/>
          <w:sz w:val="32"/>
          <w:szCs w:val="32"/>
          <w:highlight w:val="none"/>
        </w:rPr>
        <w:t>月</w:t>
      </w:r>
      <w:bookmarkEnd w:id="2"/>
    </w:p>
    <w:p w14:paraId="369AC098">
      <w:pPr>
        <w:pStyle w:val="30"/>
        <w:spacing w:line="500" w:lineRule="exact"/>
        <w:ind w:left="300" w:right="300"/>
        <w:jc w:val="center"/>
        <w:outlineLvl w:val="0"/>
        <w:rPr>
          <w:rFonts w:ascii="宋体"/>
          <w:sz w:val="44"/>
          <w:szCs w:val="44"/>
          <w:highlight w:val="none"/>
        </w:rPr>
      </w:pPr>
      <w:bookmarkStart w:id="3" w:name="_Toc184723186"/>
      <w:r>
        <w:rPr>
          <w:rFonts w:ascii="宋体"/>
          <w:b/>
          <w:sz w:val="44"/>
          <w:szCs w:val="44"/>
          <w:highlight w:val="none"/>
        </w:rPr>
        <w:t>目    录</w:t>
      </w:r>
      <w:bookmarkEnd w:id="3"/>
      <w:r>
        <w:rPr>
          <w:rFonts w:ascii="宋体"/>
          <w:bCs w:val="0"/>
          <w:sz w:val="44"/>
          <w:szCs w:val="44"/>
          <w:highlight w:val="none"/>
        </w:rPr>
        <w:fldChar w:fldCharType="begin"/>
      </w:r>
      <w:r>
        <w:rPr>
          <w:rFonts w:ascii="宋体"/>
          <w:bCs w:val="0"/>
          <w:sz w:val="44"/>
          <w:szCs w:val="44"/>
          <w:highlight w:val="none"/>
        </w:rPr>
        <w:instrText xml:space="preserve"> TOC \o "1-2" \h \z \u </w:instrText>
      </w:r>
      <w:r>
        <w:rPr>
          <w:rFonts w:ascii="宋体"/>
          <w:bCs w:val="0"/>
          <w:sz w:val="44"/>
          <w:szCs w:val="44"/>
          <w:highlight w:val="none"/>
        </w:rPr>
        <w:fldChar w:fldCharType="separate"/>
      </w:r>
    </w:p>
    <w:p w14:paraId="3E96CBFC">
      <w:pPr>
        <w:pStyle w:val="30"/>
        <w:spacing w:line="500" w:lineRule="exact"/>
        <w:rPr>
          <w:rStyle w:val="48"/>
          <w:b/>
          <w:highlight w:val="none"/>
        </w:rPr>
      </w:pPr>
    </w:p>
    <w:p w14:paraId="67963EED">
      <w:pPr>
        <w:pStyle w:val="30"/>
        <w:spacing w:line="500" w:lineRule="exact"/>
        <w:rPr>
          <w:rFonts w:asciiTheme="minorHAnsi" w:hAnsiTheme="minorHAnsi" w:eastAsiaTheme="minorEastAsia" w:cstheme="minorBidi"/>
          <w:b/>
          <w:bCs w:val="0"/>
          <w:sz w:val="21"/>
          <w:szCs w:val="22"/>
          <w:highlight w:val="none"/>
        </w:rPr>
      </w:pPr>
      <w:r>
        <w:rPr>
          <w:highlight w:val="none"/>
        </w:rPr>
        <w:fldChar w:fldCharType="begin"/>
      </w:r>
      <w:r>
        <w:rPr>
          <w:highlight w:val="none"/>
        </w:rPr>
        <w:instrText xml:space="preserve"> HYPERLINK \l "_Toc184723187" </w:instrText>
      </w:r>
      <w:r>
        <w:rPr>
          <w:highlight w:val="none"/>
        </w:rPr>
        <w:fldChar w:fldCharType="separate"/>
      </w:r>
      <w:r>
        <w:rPr>
          <w:rStyle w:val="48"/>
          <w:rFonts w:hint="eastAsia" w:ascii="Times New Roman"/>
          <w:b/>
          <w:highlight w:val="none"/>
        </w:rPr>
        <w:t>第一部分遴选公告</w:t>
      </w:r>
      <w:r>
        <w:rPr>
          <w:b/>
          <w:highlight w:val="none"/>
        </w:rPr>
        <w:tab/>
      </w:r>
      <w:r>
        <w:rPr>
          <w:b/>
          <w:highlight w:val="none"/>
        </w:rPr>
        <w:fldChar w:fldCharType="begin"/>
      </w:r>
      <w:r>
        <w:rPr>
          <w:b/>
          <w:highlight w:val="none"/>
        </w:rPr>
        <w:instrText xml:space="preserve"> PAGEREF _Toc184723187 \h </w:instrText>
      </w:r>
      <w:r>
        <w:rPr>
          <w:b/>
          <w:highlight w:val="none"/>
        </w:rPr>
        <w:fldChar w:fldCharType="separate"/>
      </w:r>
      <w:r>
        <w:rPr>
          <w:b/>
          <w:highlight w:val="none"/>
        </w:rPr>
        <w:t>3</w:t>
      </w:r>
      <w:r>
        <w:rPr>
          <w:b/>
          <w:highlight w:val="none"/>
        </w:rPr>
        <w:fldChar w:fldCharType="end"/>
      </w:r>
      <w:r>
        <w:rPr>
          <w:b/>
          <w:highlight w:val="none"/>
        </w:rPr>
        <w:fldChar w:fldCharType="end"/>
      </w:r>
    </w:p>
    <w:p w14:paraId="53E828D4">
      <w:pPr>
        <w:pStyle w:val="36"/>
        <w:tabs>
          <w:tab w:val="left" w:pos="2100"/>
        </w:tabs>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"_Toc184723188" </w:instrText>
      </w:r>
      <w:r>
        <w:rPr>
          <w:highlight w:val="none"/>
        </w:rPr>
        <w:fldChar w:fldCharType="separate"/>
      </w:r>
      <w:r>
        <w:rPr>
          <w:rStyle w:val="48"/>
          <w:rFonts w:hint="eastAsia" w:ascii="宋体"/>
          <w:bCs/>
          <w:highlight w:val="none"/>
        </w:rPr>
        <w:t>一、项目基本情况</w:t>
      </w:r>
      <w:r>
        <w:rPr>
          <w:highlight w:val="none"/>
        </w:rPr>
        <w:tab/>
      </w:r>
      <w:r>
        <w:rPr>
          <w:highlight w:val="none"/>
        </w:rPr>
        <w:fldChar w:fldCharType="begin"/>
      </w:r>
      <w:r>
        <w:rPr>
          <w:highlight w:val="none"/>
        </w:rPr>
        <w:instrText xml:space="preserve"> PAGEREF _Toc184723188 \h </w:instrText>
      </w:r>
      <w:r>
        <w:rPr>
          <w:highlight w:val="none"/>
        </w:rPr>
        <w:fldChar w:fldCharType="separate"/>
      </w:r>
      <w:r>
        <w:rPr>
          <w:highlight w:val="none"/>
        </w:rPr>
        <w:t>3</w:t>
      </w:r>
      <w:r>
        <w:rPr>
          <w:highlight w:val="none"/>
        </w:rPr>
        <w:fldChar w:fldCharType="end"/>
      </w:r>
      <w:r>
        <w:rPr>
          <w:highlight w:val="none"/>
        </w:rPr>
        <w:fldChar w:fldCharType="end"/>
      </w:r>
    </w:p>
    <w:p w14:paraId="3FE42088">
      <w:pPr>
        <w:pStyle w:val="36"/>
        <w:tabs>
          <w:tab w:val="left" w:pos="2100"/>
        </w:tabs>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"_Toc184723189" </w:instrText>
      </w:r>
      <w:r>
        <w:rPr>
          <w:highlight w:val="none"/>
        </w:rPr>
        <w:fldChar w:fldCharType="separate"/>
      </w:r>
      <w:r>
        <w:rPr>
          <w:rStyle w:val="48"/>
          <w:rFonts w:hint="eastAsia"/>
          <w:bCs/>
          <w:highlight w:val="none"/>
        </w:rPr>
        <w:t>二、供应商资格条件</w:t>
      </w:r>
      <w:r>
        <w:rPr>
          <w:highlight w:val="none"/>
        </w:rPr>
        <w:tab/>
      </w:r>
      <w:r>
        <w:rPr>
          <w:highlight w:val="none"/>
        </w:rPr>
        <w:fldChar w:fldCharType="begin"/>
      </w:r>
      <w:r>
        <w:rPr>
          <w:highlight w:val="none"/>
        </w:rPr>
        <w:instrText xml:space="preserve"> PAGEREF _Toc184723189 \h </w:instrText>
      </w:r>
      <w:r>
        <w:rPr>
          <w:highlight w:val="none"/>
        </w:rPr>
        <w:fldChar w:fldCharType="separate"/>
      </w:r>
      <w:r>
        <w:rPr>
          <w:highlight w:val="none"/>
        </w:rPr>
        <w:t>3</w:t>
      </w:r>
      <w:r>
        <w:rPr>
          <w:highlight w:val="none"/>
        </w:rPr>
        <w:fldChar w:fldCharType="end"/>
      </w:r>
      <w:r>
        <w:rPr>
          <w:highlight w:val="none"/>
        </w:rPr>
        <w:fldChar w:fldCharType="end"/>
      </w:r>
    </w:p>
    <w:p w14:paraId="2AEBB50F">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"_Toc184723203" </w:instrText>
      </w:r>
      <w:r>
        <w:rPr>
          <w:highlight w:val="none"/>
        </w:rPr>
        <w:fldChar w:fldCharType="separate"/>
      </w:r>
      <w:r>
        <w:rPr>
          <w:rStyle w:val="48"/>
          <w:rFonts w:hint="eastAsia"/>
          <w:bCs/>
          <w:highlight w:val="none"/>
        </w:rPr>
        <w:t>三．遴选响应资料</w:t>
      </w:r>
      <w:r>
        <w:rPr>
          <w:highlight w:val="none"/>
        </w:rPr>
        <w:tab/>
      </w:r>
      <w:r>
        <w:rPr>
          <w:highlight w:val="none"/>
        </w:rPr>
        <w:fldChar w:fldCharType="begin"/>
      </w:r>
      <w:r>
        <w:rPr>
          <w:highlight w:val="none"/>
        </w:rPr>
        <w:instrText xml:space="preserve"> PAGEREF _Toc184723203 \h </w:instrText>
      </w:r>
      <w:r>
        <w:rPr>
          <w:highlight w:val="none"/>
        </w:rPr>
        <w:fldChar w:fldCharType="separate"/>
      </w:r>
      <w:r>
        <w:rPr>
          <w:highlight w:val="none"/>
        </w:rPr>
        <w:t>4</w:t>
      </w:r>
      <w:r>
        <w:rPr>
          <w:highlight w:val="none"/>
        </w:rPr>
        <w:fldChar w:fldCharType="end"/>
      </w:r>
      <w:r>
        <w:rPr>
          <w:highlight w:val="none"/>
        </w:rPr>
        <w:fldChar w:fldCharType="end"/>
      </w:r>
    </w:p>
    <w:p w14:paraId="3AF19711">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"_Toc184723207" </w:instrText>
      </w:r>
      <w:r>
        <w:rPr>
          <w:highlight w:val="none"/>
        </w:rPr>
        <w:fldChar w:fldCharType="separate"/>
      </w:r>
      <w:r>
        <w:rPr>
          <w:rStyle w:val="48"/>
          <w:rFonts w:hint="eastAsia"/>
          <w:bCs/>
          <w:highlight w:val="none"/>
        </w:rPr>
        <w:t>四、资料递交时间、地点、报价方式及评审办法：</w:t>
      </w:r>
      <w:r>
        <w:rPr>
          <w:highlight w:val="none"/>
        </w:rPr>
        <w:tab/>
      </w:r>
      <w:r>
        <w:rPr>
          <w:highlight w:val="none"/>
        </w:rPr>
        <w:fldChar w:fldCharType="begin"/>
      </w:r>
      <w:r>
        <w:rPr>
          <w:highlight w:val="none"/>
        </w:rPr>
        <w:instrText xml:space="preserve"> PAGEREF _Toc184723207 \h </w:instrText>
      </w:r>
      <w:r>
        <w:rPr>
          <w:highlight w:val="none"/>
        </w:rPr>
        <w:fldChar w:fldCharType="separate"/>
      </w:r>
      <w:r>
        <w:rPr>
          <w:highlight w:val="none"/>
        </w:rPr>
        <w:t>5</w:t>
      </w:r>
      <w:r>
        <w:rPr>
          <w:highlight w:val="none"/>
        </w:rPr>
        <w:fldChar w:fldCharType="end"/>
      </w:r>
      <w:r>
        <w:rPr>
          <w:highlight w:val="none"/>
        </w:rPr>
        <w:fldChar w:fldCharType="end"/>
      </w:r>
    </w:p>
    <w:p w14:paraId="7317EC8D">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"_Toc184723214" </w:instrText>
      </w:r>
      <w:r>
        <w:rPr>
          <w:highlight w:val="none"/>
        </w:rPr>
        <w:fldChar w:fldCharType="separate"/>
      </w:r>
      <w:r>
        <w:rPr>
          <w:rStyle w:val="48"/>
          <w:rFonts w:hint="eastAsia"/>
          <w:bCs/>
          <w:highlight w:val="none"/>
        </w:rPr>
        <w:t>五、本次遴选相关事宜联系：</w:t>
      </w:r>
      <w:r>
        <w:rPr>
          <w:highlight w:val="none"/>
        </w:rPr>
        <w:tab/>
      </w:r>
      <w:r>
        <w:rPr>
          <w:highlight w:val="none"/>
        </w:rPr>
        <w:fldChar w:fldCharType="begin"/>
      </w:r>
      <w:r>
        <w:rPr>
          <w:highlight w:val="none"/>
        </w:rPr>
        <w:instrText xml:space="preserve"> PAGEREF _Toc184723214 \h </w:instrText>
      </w:r>
      <w:r>
        <w:rPr>
          <w:highlight w:val="none"/>
        </w:rPr>
        <w:fldChar w:fldCharType="separate"/>
      </w:r>
      <w:r>
        <w:rPr>
          <w:highlight w:val="none"/>
        </w:rPr>
        <w:t>5</w:t>
      </w:r>
      <w:r>
        <w:rPr>
          <w:highlight w:val="none"/>
        </w:rPr>
        <w:fldChar w:fldCharType="end"/>
      </w:r>
      <w:r>
        <w:rPr>
          <w:highlight w:val="none"/>
        </w:rPr>
        <w:fldChar w:fldCharType="end"/>
      </w:r>
    </w:p>
    <w:p w14:paraId="1B95018B">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"_Toc184723216" </w:instrText>
      </w:r>
      <w:r>
        <w:rPr>
          <w:highlight w:val="none"/>
        </w:rPr>
        <w:fldChar w:fldCharType="separate"/>
      </w:r>
      <w:r>
        <w:rPr>
          <w:rStyle w:val="48"/>
          <w:rFonts w:hint="eastAsia"/>
          <w:bCs/>
          <w:highlight w:val="none"/>
        </w:rPr>
        <w:t>六、报名须知</w:t>
      </w:r>
      <w:r>
        <w:rPr>
          <w:highlight w:val="none"/>
        </w:rPr>
        <w:tab/>
      </w:r>
      <w:r>
        <w:rPr>
          <w:highlight w:val="none"/>
        </w:rPr>
        <w:fldChar w:fldCharType="begin"/>
      </w:r>
      <w:r>
        <w:rPr>
          <w:highlight w:val="none"/>
        </w:rPr>
        <w:instrText xml:space="preserve"> PAGEREF _Toc184723216 \h </w:instrText>
      </w:r>
      <w:r>
        <w:rPr>
          <w:highlight w:val="none"/>
        </w:rPr>
        <w:fldChar w:fldCharType="separate"/>
      </w:r>
      <w:r>
        <w:rPr>
          <w:highlight w:val="none"/>
        </w:rPr>
        <w:t>5</w:t>
      </w:r>
      <w:r>
        <w:rPr>
          <w:highlight w:val="none"/>
        </w:rPr>
        <w:fldChar w:fldCharType="end"/>
      </w:r>
      <w:r>
        <w:rPr>
          <w:highlight w:val="none"/>
        </w:rPr>
        <w:fldChar w:fldCharType="end"/>
      </w:r>
    </w:p>
    <w:p w14:paraId="69607EF0">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"_Toc184723224" </w:instrText>
      </w:r>
      <w:r>
        <w:rPr>
          <w:highlight w:val="none"/>
        </w:rPr>
        <w:fldChar w:fldCharType="separate"/>
      </w:r>
      <w:r>
        <w:rPr>
          <w:rStyle w:val="48"/>
          <w:rFonts w:hint="eastAsia"/>
          <w:bCs/>
          <w:highlight w:val="none"/>
        </w:rPr>
        <w:t>七、注意事项</w:t>
      </w:r>
      <w:r>
        <w:rPr>
          <w:highlight w:val="none"/>
        </w:rPr>
        <w:tab/>
      </w:r>
      <w:r>
        <w:rPr>
          <w:highlight w:val="none"/>
        </w:rPr>
        <w:fldChar w:fldCharType="begin"/>
      </w:r>
      <w:r>
        <w:rPr>
          <w:highlight w:val="none"/>
        </w:rPr>
        <w:instrText xml:space="preserve"> PAGEREF _Toc184723224 \h </w:instrText>
      </w:r>
      <w:r>
        <w:rPr>
          <w:highlight w:val="none"/>
        </w:rPr>
        <w:fldChar w:fldCharType="separate"/>
      </w:r>
      <w:r>
        <w:rPr>
          <w:highlight w:val="none"/>
        </w:rPr>
        <w:t>5</w:t>
      </w:r>
      <w:r>
        <w:rPr>
          <w:highlight w:val="none"/>
        </w:rPr>
        <w:fldChar w:fldCharType="end"/>
      </w:r>
      <w:r>
        <w:rPr>
          <w:highlight w:val="none"/>
        </w:rPr>
        <w:fldChar w:fldCharType="end"/>
      </w:r>
    </w:p>
    <w:p w14:paraId="0C05D370">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"_Toc184723226" </w:instrText>
      </w:r>
      <w:r>
        <w:rPr>
          <w:highlight w:val="none"/>
        </w:rPr>
        <w:fldChar w:fldCharType="separate"/>
      </w:r>
      <w:r>
        <w:rPr>
          <w:rStyle w:val="48"/>
          <w:rFonts w:hint="eastAsia"/>
          <w:bCs/>
          <w:highlight w:val="none"/>
        </w:rPr>
        <w:t>八、遴选响应文件的制作、装订、密封、标记</w:t>
      </w:r>
      <w:r>
        <w:rPr>
          <w:highlight w:val="none"/>
        </w:rPr>
        <w:tab/>
      </w:r>
      <w:r>
        <w:rPr>
          <w:highlight w:val="none"/>
        </w:rPr>
        <w:fldChar w:fldCharType="begin"/>
      </w:r>
      <w:r>
        <w:rPr>
          <w:highlight w:val="none"/>
        </w:rPr>
        <w:instrText xml:space="preserve"> PAGEREF _Toc184723226 \h </w:instrText>
      </w:r>
      <w:r>
        <w:rPr>
          <w:highlight w:val="none"/>
        </w:rPr>
        <w:fldChar w:fldCharType="separate"/>
      </w:r>
      <w:r>
        <w:rPr>
          <w:highlight w:val="none"/>
        </w:rPr>
        <w:t>5</w:t>
      </w:r>
      <w:r>
        <w:rPr>
          <w:highlight w:val="none"/>
        </w:rPr>
        <w:fldChar w:fldCharType="end"/>
      </w:r>
      <w:r>
        <w:rPr>
          <w:highlight w:val="none"/>
        </w:rPr>
        <w:fldChar w:fldCharType="end"/>
      </w:r>
    </w:p>
    <w:p w14:paraId="57436C31">
      <w:pPr>
        <w:pStyle w:val="30"/>
        <w:spacing w:line="500" w:lineRule="exact"/>
        <w:rPr>
          <w:rFonts w:asciiTheme="minorHAnsi" w:hAnsiTheme="minorHAnsi" w:eastAsiaTheme="minorEastAsia" w:cstheme="minorBidi"/>
          <w:b/>
          <w:bCs w:val="0"/>
          <w:sz w:val="21"/>
          <w:szCs w:val="22"/>
          <w:highlight w:val="none"/>
        </w:rPr>
      </w:pPr>
      <w:r>
        <w:rPr>
          <w:highlight w:val="none"/>
        </w:rPr>
        <w:fldChar w:fldCharType="begin"/>
      </w:r>
      <w:r>
        <w:rPr>
          <w:highlight w:val="none"/>
        </w:rPr>
        <w:instrText xml:space="preserve"> HYPERLINK \l "_Toc184723234" </w:instrText>
      </w:r>
      <w:r>
        <w:rPr>
          <w:highlight w:val="none"/>
        </w:rPr>
        <w:fldChar w:fldCharType="separate"/>
      </w:r>
      <w:r>
        <w:rPr>
          <w:rStyle w:val="48"/>
          <w:rFonts w:hint="eastAsia" w:ascii="Times New Roman"/>
          <w:b/>
          <w:highlight w:val="none"/>
        </w:rPr>
        <w:t>第二部分采购需求</w:t>
      </w:r>
      <w:r>
        <w:rPr>
          <w:b/>
          <w:highlight w:val="none"/>
        </w:rPr>
        <w:tab/>
      </w:r>
      <w:r>
        <w:rPr>
          <w:b/>
          <w:highlight w:val="none"/>
        </w:rPr>
        <w:fldChar w:fldCharType="begin"/>
      </w:r>
      <w:r>
        <w:rPr>
          <w:b/>
          <w:highlight w:val="none"/>
        </w:rPr>
        <w:instrText xml:space="preserve"> PAGEREF _Toc184723234 \h </w:instrText>
      </w:r>
      <w:r>
        <w:rPr>
          <w:b/>
          <w:highlight w:val="none"/>
        </w:rPr>
        <w:fldChar w:fldCharType="separate"/>
      </w:r>
      <w:r>
        <w:rPr>
          <w:b/>
          <w:highlight w:val="none"/>
        </w:rPr>
        <w:t>7</w:t>
      </w:r>
      <w:r>
        <w:rPr>
          <w:b/>
          <w:highlight w:val="none"/>
        </w:rPr>
        <w:fldChar w:fldCharType="end"/>
      </w:r>
      <w:r>
        <w:rPr>
          <w:b/>
          <w:highlight w:val="none"/>
        </w:rPr>
        <w:fldChar w:fldCharType="end"/>
      </w:r>
    </w:p>
    <w:p w14:paraId="60C96A7C">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"_Toc184723235" </w:instrText>
      </w:r>
      <w:r>
        <w:rPr>
          <w:highlight w:val="none"/>
        </w:rPr>
        <w:fldChar w:fldCharType="separate"/>
      </w:r>
      <w:r>
        <w:rPr>
          <w:rStyle w:val="48"/>
          <w:rFonts w:hint="eastAsia"/>
          <w:highlight w:val="none"/>
        </w:rPr>
        <w:t>一、项目概况</w:t>
      </w:r>
      <w:r>
        <w:rPr>
          <w:highlight w:val="none"/>
        </w:rPr>
        <w:tab/>
      </w:r>
      <w:r>
        <w:rPr>
          <w:highlight w:val="none"/>
        </w:rPr>
        <w:fldChar w:fldCharType="begin"/>
      </w:r>
      <w:r>
        <w:rPr>
          <w:highlight w:val="none"/>
        </w:rPr>
        <w:instrText xml:space="preserve"> PAGEREF _Toc184723235 \h </w:instrText>
      </w:r>
      <w:r>
        <w:rPr>
          <w:highlight w:val="none"/>
        </w:rPr>
        <w:fldChar w:fldCharType="separate"/>
      </w:r>
      <w:r>
        <w:rPr>
          <w:highlight w:val="none"/>
        </w:rPr>
        <w:t>7</w:t>
      </w:r>
      <w:r>
        <w:rPr>
          <w:highlight w:val="none"/>
        </w:rPr>
        <w:fldChar w:fldCharType="end"/>
      </w:r>
      <w:r>
        <w:rPr>
          <w:highlight w:val="none"/>
        </w:rPr>
        <w:fldChar w:fldCharType="end"/>
      </w:r>
    </w:p>
    <w:p w14:paraId="3DA2EB80">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"_Toc184723236" </w:instrText>
      </w:r>
      <w:r>
        <w:rPr>
          <w:highlight w:val="none"/>
        </w:rPr>
        <w:fldChar w:fldCharType="separate"/>
      </w:r>
      <w:r>
        <w:rPr>
          <w:rStyle w:val="48"/>
          <w:rFonts w:hint="eastAsia"/>
          <w:highlight w:val="none"/>
        </w:rPr>
        <w:t>二、供应商资格条件</w:t>
      </w:r>
      <w:r>
        <w:rPr>
          <w:highlight w:val="none"/>
        </w:rPr>
        <w:tab/>
      </w:r>
      <w:r>
        <w:rPr>
          <w:highlight w:val="none"/>
        </w:rPr>
        <w:fldChar w:fldCharType="begin"/>
      </w:r>
      <w:r>
        <w:rPr>
          <w:highlight w:val="none"/>
        </w:rPr>
        <w:instrText xml:space="preserve"> PAGEREF _Toc184723236 \h </w:instrText>
      </w:r>
      <w:r>
        <w:rPr>
          <w:highlight w:val="none"/>
        </w:rPr>
        <w:fldChar w:fldCharType="separate"/>
      </w:r>
      <w:r>
        <w:rPr>
          <w:highlight w:val="none"/>
        </w:rPr>
        <w:t>7</w:t>
      </w:r>
      <w:r>
        <w:rPr>
          <w:highlight w:val="none"/>
        </w:rPr>
        <w:fldChar w:fldCharType="end"/>
      </w:r>
      <w:r>
        <w:rPr>
          <w:highlight w:val="none"/>
        </w:rPr>
        <w:fldChar w:fldCharType="end"/>
      </w:r>
    </w:p>
    <w:p w14:paraId="407A8C55">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"_Toc184723250" </w:instrText>
      </w:r>
      <w:r>
        <w:rPr>
          <w:highlight w:val="none"/>
        </w:rPr>
        <w:fldChar w:fldCharType="separate"/>
      </w:r>
      <w:r>
        <w:rPr>
          <w:rStyle w:val="48"/>
          <w:rFonts w:hint="eastAsia"/>
          <w:highlight w:val="none"/>
        </w:rPr>
        <w:t>三、技术服务要求：</w:t>
      </w:r>
      <w:r>
        <w:rPr>
          <w:highlight w:val="none"/>
        </w:rPr>
        <w:tab/>
      </w:r>
      <w:r>
        <w:rPr>
          <w:highlight w:val="none"/>
        </w:rPr>
        <w:fldChar w:fldCharType="begin"/>
      </w:r>
      <w:r>
        <w:rPr>
          <w:highlight w:val="none"/>
        </w:rPr>
        <w:instrText xml:space="preserve"> PAGEREF _Toc184723250 \h </w:instrText>
      </w:r>
      <w:r>
        <w:rPr>
          <w:highlight w:val="none"/>
        </w:rPr>
        <w:fldChar w:fldCharType="separate"/>
      </w:r>
      <w:r>
        <w:rPr>
          <w:highlight w:val="none"/>
        </w:rPr>
        <w:t>8</w:t>
      </w:r>
      <w:r>
        <w:rPr>
          <w:highlight w:val="none"/>
        </w:rPr>
        <w:fldChar w:fldCharType="end"/>
      </w:r>
      <w:r>
        <w:rPr>
          <w:highlight w:val="none"/>
        </w:rPr>
        <w:fldChar w:fldCharType="end"/>
      </w:r>
    </w:p>
    <w:p w14:paraId="516E4FA7">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"_Toc184723289" </w:instrText>
      </w:r>
      <w:r>
        <w:rPr>
          <w:highlight w:val="none"/>
        </w:rPr>
        <w:fldChar w:fldCharType="separate"/>
      </w:r>
      <w:r>
        <w:rPr>
          <w:rStyle w:val="48"/>
          <w:rFonts w:hint="eastAsia"/>
          <w:highlight w:val="none"/>
        </w:rPr>
        <w:t>四、售后服务要求</w:t>
      </w:r>
      <w:r>
        <w:rPr>
          <w:highlight w:val="none"/>
        </w:rPr>
        <w:tab/>
      </w:r>
      <w:r>
        <w:rPr>
          <w:highlight w:val="none"/>
        </w:rPr>
        <w:fldChar w:fldCharType="begin"/>
      </w:r>
      <w:r>
        <w:rPr>
          <w:highlight w:val="none"/>
        </w:rPr>
        <w:instrText xml:space="preserve"> PAGEREF _Toc184723289 \h </w:instrText>
      </w:r>
      <w:r>
        <w:rPr>
          <w:highlight w:val="none"/>
        </w:rPr>
        <w:fldChar w:fldCharType="separate"/>
      </w:r>
      <w:r>
        <w:rPr>
          <w:highlight w:val="none"/>
        </w:rPr>
        <w:t>9</w:t>
      </w:r>
      <w:r>
        <w:rPr>
          <w:highlight w:val="none"/>
        </w:rPr>
        <w:fldChar w:fldCharType="end"/>
      </w:r>
      <w:r>
        <w:rPr>
          <w:highlight w:val="none"/>
        </w:rPr>
        <w:fldChar w:fldCharType="end"/>
      </w:r>
    </w:p>
    <w:p w14:paraId="5B2D4A99">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"_Toc184723293" </w:instrText>
      </w:r>
      <w:r>
        <w:rPr>
          <w:highlight w:val="none"/>
        </w:rPr>
        <w:fldChar w:fldCharType="separate"/>
      </w:r>
      <w:r>
        <w:rPr>
          <w:rStyle w:val="48"/>
          <w:rFonts w:hint="eastAsia"/>
          <w:highlight w:val="none"/>
        </w:rPr>
        <w:t>五、报价要求</w:t>
      </w:r>
      <w:r>
        <w:rPr>
          <w:highlight w:val="none"/>
        </w:rPr>
        <w:tab/>
      </w:r>
      <w:r>
        <w:rPr>
          <w:highlight w:val="none"/>
        </w:rPr>
        <w:fldChar w:fldCharType="begin"/>
      </w:r>
      <w:r>
        <w:rPr>
          <w:highlight w:val="none"/>
        </w:rPr>
        <w:instrText xml:space="preserve"> PAGEREF _Toc184723293 \h </w:instrText>
      </w:r>
      <w:r>
        <w:rPr>
          <w:highlight w:val="none"/>
        </w:rPr>
        <w:fldChar w:fldCharType="separate"/>
      </w:r>
      <w:r>
        <w:rPr>
          <w:highlight w:val="none"/>
        </w:rPr>
        <w:t>10</w:t>
      </w:r>
      <w:r>
        <w:rPr>
          <w:highlight w:val="none"/>
        </w:rPr>
        <w:fldChar w:fldCharType="end"/>
      </w:r>
      <w:r>
        <w:rPr>
          <w:highlight w:val="none"/>
        </w:rPr>
        <w:fldChar w:fldCharType="end"/>
      </w:r>
    </w:p>
    <w:p w14:paraId="4F886EA3">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"_Toc184723296" </w:instrText>
      </w:r>
      <w:r>
        <w:rPr>
          <w:highlight w:val="none"/>
        </w:rPr>
        <w:fldChar w:fldCharType="separate"/>
      </w:r>
      <w:r>
        <w:rPr>
          <w:rStyle w:val="48"/>
          <w:rFonts w:hint="eastAsia"/>
          <w:highlight w:val="none"/>
        </w:rPr>
        <w:t>六、评审办法和标准</w:t>
      </w:r>
      <w:r>
        <w:rPr>
          <w:highlight w:val="none"/>
        </w:rPr>
        <w:tab/>
      </w:r>
      <w:r>
        <w:rPr>
          <w:highlight w:val="none"/>
        </w:rPr>
        <w:fldChar w:fldCharType="begin"/>
      </w:r>
      <w:r>
        <w:rPr>
          <w:highlight w:val="none"/>
        </w:rPr>
        <w:instrText xml:space="preserve"> PAGEREF _Toc184723296 \h </w:instrText>
      </w:r>
      <w:r>
        <w:rPr>
          <w:highlight w:val="none"/>
        </w:rPr>
        <w:fldChar w:fldCharType="separate"/>
      </w:r>
      <w:r>
        <w:rPr>
          <w:highlight w:val="none"/>
        </w:rPr>
        <w:t>10</w:t>
      </w:r>
      <w:r>
        <w:rPr>
          <w:highlight w:val="none"/>
        </w:rPr>
        <w:fldChar w:fldCharType="end"/>
      </w:r>
      <w:r>
        <w:rPr>
          <w:highlight w:val="none"/>
        </w:rPr>
        <w:fldChar w:fldCharType="end"/>
      </w:r>
    </w:p>
    <w:p w14:paraId="168B33C9">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"_Toc184723297" </w:instrText>
      </w:r>
      <w:r>
        <w:rPr>
          <w:highlight w:val="none"/>
        </w:rPr>
        <w:fldChar w:fldCharType="separate"/>
      </w:r>
      <w:r>
        <w:rPr>
          <w:rStyle w:val="48"/>
          <w:rFonts w:hint="eastAsia"/>
          <w:highlight w:val="none"/>
        </w:rPr>
        <w:t>七、验收标准</w:t>
      </w:r>
      <w:r>
        <w:rPr>
          <w:highlight w:val="none"/>
        </w:rPr>
        <w:tab/>
      </w:r>
      <w:r>
        <w:rPr>
          <w:highlight w:val="none"/>
        </w:rPr>
        <w:fldChar w:fldCharType="begin"/>
      </w:r>
      <w:r>
        <w:rPr>
          <w:highlight w:val="none"/>
        </w:rPr>
        <w:instrText xml:space="preserve"> PAGEREF _Toc184723297 \h </w:instrText>
      </w:r>
      <w:r>
        <w:rPr>
          <w:highlight w:val="none"/>
        </w:rPr>
        <w:fldChar w:fldCharType="separate"/>
      </w:r>
      <w:r>
        <w:rPr>
          <w:highlight w:val="none"/>
        </w:rPr>
        <w:t>10</w:t>
      </w:r>
      <w:r>
        <w:rPr>
          <w:highlight w:val="none"/>
        </w:rPr>
        <w:fldChar w:fldCharType="end"/>
      </w:r>
      <w:r>
        <w:rPr>
          <w:highlight w:val="none"/>
        </w:rPr>
        <w:fldChar w:fldCharType="end"/>
      </w:r>
    </w:p>
    <w:p w14:paraId="27D09948">
      <w:pPr>
        <w:pStyle w:val="30"/>
        <w:spacing w:line="500" w:lineRule="exact"/>
        <w:rPr>
          <w:rFonts w:asciiTheme="minorHAnsi" w:hAnsiTheme="minorHAnsi" w:eastAsiaTheme="minorEastAsia" w:cstheme="minorBidi"/>
          <w:b/>
          <w:bCs w:val="0"/>
          <w:sz w:val="21"/>
          <w:szCs w:val="22"/>
          <w:highlight w:val="none"/>
        </w:rPr>
      </w:pPr>
      <w:r>
        <w:rPr>
          <w:highlight w:val="none"/>
        </w:rPr>
        <w:fldChar w:fldCharType="begin"/>
      </w:r>
      <w:r>
        <w:rPr>
          <w:highlight w:val="none"/>
        </w:rPr>
        <w:instrText xml:space="preserve"> HYPERLINK \l "_Toc184723298" </w:instrText>
      </w:r>
      <w:r>
        <w:rPr>
          <w:highlight w:val="none"/>
        </w:rPr>
        <w:fldChar w:fldCharType="separate"/>
      </w:r>
      <w:r>
        <w:rPr>
          <w:rStyle w:val="48"/>
          <w:rFonts w:hint="eastAsia" w:ascii="Times New Roman"/>
          <w:b/>
          <w:highlight w:val="none"/>
        </w:rPr>
        <w:t>第三部分供应商须知</w:t>
      </w:r>
      <w:r>
        <w:rPr>
          <w:b/>
          <w:highlight w:val="none"/>
        </w:rPr>
        <w:tab/>
      </w:r>
      <w:r>
        <w:rPr>
          <w:b/>
          <w:highlight w:val="none"/>
        </w:rPr>
        <w:fldChar w:fldCharType="begin"/>
      </w:r>
      <w:r>
        <w:rPr>
          <w:b/>
          <w:highlight w:val="none"/>
        </w:rPr>
        <w:instrText xml:space="preserve"> PAGEREF _Toc184723298 \h </w:instrText>
      </w:r>
      <w:r>
        <w:rPr>
          <w:b/>
          <w:highlight w:val="none"/>
        </w:rPr>
        <w:fldChar w:fldCharType="separate"/>
      </w:r>
      <w:r>
        <w:rPr>
          <w:b/>
          <w:highlight w:val="none"/>
        </w:rPr>
        <w:t>11</w:t>
      </w:r>
      <w:r>
        <w:rPr>
          <w:b/>
          <w:highlight w:val="none"/>
        </w:rPr>
        <w:fldChar w:fldCharType="end"/>
      </w:r>
      <w:r>
        <w:rPr>
          <w:b/>
          <w:highlight w:val="none"/>
        </w:rPr>
        <w:fldChar w:fldCharType="end"/>
      </w:r>
    </w:p>
    <w:p w14:paraId="15F5B44B">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"_Toc184723299" </w:instrText>
      </w:r>
      <w:r>
        <w:rPr>
          <w:highlight w:val="none"/>
        </w:rPr>
        <w:fldChar w:fldCharType="separate"/>
      </w:r>
      <w:r>
        <w:rPr>
          <w:rStyle w:val="48"/>
          <w:rFonts w:hint="eastAsia" w:ascii="Times New Roman" w:hAnsi="Times New Roman"/>
          <w:highlight w:val="none"/>
        </w:rPr>
        <w:t>一、说明</w:t>
      </w:r>
      <w:r>
        <w:rPr>
          <w:highlight w:val="none"/>
        </w:rPr>
        <w:tab/>
      </w:r>
      <w:r>
        <w:rPr>
          <w:highlight w:val="none"/>
        </w:rPr>
        <w:fldChar w:fldCharType="begin"/>
      </w:r>
      <w:r>
        <w:rPr>
          <w:highlight w:val="none"/>
        </w:rPr>
        <w:instrText xml:space="preserve"> PAGEREF _Toc184723299 \h </w:instrText>
      </w:r>
      <w:r>
        <w:rPr>
          <w:highlight w:val="none"/>
        </w:rPr>
        <w:fldChar w:fldCharType="separate"/>
      </w:r>
      <w:r>
        <w:rPr>
          <w:highlight w:val="none"/>
        </w:rPr>
        <w:t>11</w:t>
      </w:r>
      <w:r>
        <w:rPr>
          <w:highlight w:val="none"/>
        </w:rPr>
        <w:fldChar w:fldCharType="end"/>
      </w:r>
      <w:r>
        <w:rPr>
          <w:highlight w:val="none"/>
        </w:rPr>
        <w:fldChar w:fldCharType="end"/>
      </w:r>
    </w:p>
    <w:p w14:paraId="5C69F934">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"_Toc184723300" </w:instrText>
      </w:r>
      <w:r>
        <w:rPr>
          <w:highlight w:val="none"/>
        </w:rPr>
        <w:fldChar w:fldCharType="separate"/>
      </w:r>
      <w:r>
        <w:rPr>
          <w:rStyle w:val="48"/>
          <w:rFonts w:hint="eastAsia" w:ascii="Times New Roman" w:hAnsi="Times New Roman"/>
          <w:highlight w:val="none"/>
        </w:rPr>
        <w:t>二、遴选文件说明</w:t>
      </w:r>
      <w:r>
        <w:rPr>
          <w:highlight w:val="none"/>
        </w:rPr>
        <w:tab/>
      </w:r>
      <w:r>
        <w:rPr>
          <w:highlight w:val="none"/>
        </w:rPr>
        <w:fldChar w:fldCharType="begin"/>
      </w:r>
      <w:r>
        <w:rPr>
          <w:highlight w:val="none"/>
        </w:rPr>
        <w:instrText xml:space="preserve"> PAGEREF _Toc184723300 \h </w:instrText>
      </w:r>
      <w:r>
        <w:rPr>
          <w:highlight w:val="none"/>
        </w:rPr>
        <w:fldChar w:fldCharType="separate"/>
      </w:r>
      <w:r>
        <w:rPr>
          <w:highlight w:val="none"/>
        </w:rPr>
        <w:t>13</w:t>
      </w:r>
      <w:r>
        <w:rPr>
          <w:highlight w:val="none"/>
        </w:rPr>
        <w:fldChar w:fldCharType="end"/>
      </w:r>
      <w:r>
        <w:rPr>
          <w:highlight w:val="none"/>
        </w:rPr>
        <w:fldChar w:fldCharType="end"/>
      </w:r>
    </w:p>
    <w:p w14:paraId="71E5515B">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"_Toc184723301" </w:instrText>
      </w:r>
      <w:r>
        <w:rPr>
          <w:highlight w:val="none"/>
        </w:rPr>
        <w:fldChar w:fldCharType="separate"/>
      </w:r>
      <w:r>
        <w:rPr>
          <w:rStyle w:val="48"/>
          <w:rFonts w:hint="eastAsia" w:ascii="Times New Roman" w:hAnsi="Times New Roman"/>
          <w:highlight w:val="none"/>
        </w:rPr>
        <w:t>三、响应文件的制作</w:t>
      </w:r>
      <w:r>
        <w:rPr>
          <w:highlight w:val="none"/>
        </w:rPr>
        <w:tab/>
      </w:r>
      <w:r>
        <w:rPr>
          <w:highlight w:val="none"/>
        </w:rPr>
        <w:fldChar w:fldCharType="begin"/>
      </w:r>
      <w:r>
        <w:rPr>
          <w:highlight w:val="none"/>
        </w:rPr>
        <w:instrText xml:space="preserve"> PAGEREF _Toc184723301 \h </w:instrText>
      </w:r>
      <w:r>
        <w:rPr>
          <w:highlight w:val="none"/>
        </w:rPr>
        <w:fldChar w:fldCharType="separate"/>
      </w:r>
      <w:r>
        <w:rPr>
          <w:highlight w:val="none"/>
        </w:rPr>
        <w:t>13</w:t>
      </w:r>
      <w:r>
        <w:rPr>
          <w:highlight w:val="none"/>
        </w:rPr>
        <w:fldChar w:fldCharType="end"/>
      </w:r>
      <w:r>
        <w:rPr>
          <w:highlight w:val="none"/>
        </w:rPr>
        <w:fldChar w:fldCharType="end"/>
      </w:r>
    </w:p>
    <w:p w14:paraId="3AE0B6A8">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"_Toc184723302" </w:instrText>
      </w:r>
      <w:r>
        <w:rPr>
          <w:highlight w:val="none"/>
        </w:rPr>
        <w:fldChar w:fldCharType="separate"/>
      </w:r>
      <w:r>
        <w:rPr>
          <w:rStyle w:val="48"/>
          <w:rFonts w:hint="eastAsia" w:ascii="Times New Roman" w:hAnsi="Times New Roman"/>
          <w:highlight w:val="none"/>
        </w:rPr>
        <w:t>四、响应文件的递交</w:t>
      </w:r>
      <w:r>
        <w:rPr>
          <w:highlight w:val="none"/>
        </w:rPr>
        <w:tab/>
      </w:r>
      <w:r>
        <w:rPr>
          <w:highlight w:val="none"/>
        </w:rPr>
        <w:fldChar w:fldCharType="begin"/>
      </w:r>
      <w:r>
        <w:rPr>
          <w:highlight w:val="none"/>
        </w:rPr>
        <w:instrText xml:space="preserve"> PAGEREF _Toc184723302 \h </w:instrText>
      </w:r>
      <w:r>
        <w:rPr>
          <w:highlight w:val="none"/>
        </w:rPr>
        <w:fldChar w:fldCharType="separate"/>
      </w:r>
      <w:r>
        <w:rPr>
          <w:highlight w:val="none"/>
        </w:rPr>
        <w:t>15</w:t>
      </w:r>
      <w:r>
        <w:rPr>
          <w:highlight w:val="none"/>
        </w:rPr>
        <w:fldChar w:fldCharType="end"/>
      </w:r>
      <w:r>
        <w:rPr>
          <w:highlight w:val="none"/>
        </w:rPr>
        <w:fldChar w:fldCharType="end"/>
      </w:r>
    </w:p>
    <w:p w14:paraId="271E178E">
      <w:pPr>
        <w:pStyle w:val="30"/>
        <w:spacing w:line="500" w:lineRule="exact"/>
        <w:rPr>
          <w:rFonts w:asciiTheme="minorHAnsi" w:hAnsiTheme="minorHAnsi" w:eastAsiaTheme="minorEastAsia" w:cstheme="minorBidi"/>
          <w:b/>
          <w:bCs w:val="0"/>
          <w:sz w:val="21"/>
          <w:szCs w:val="22"/>
          <w:highlight w:val="none"/>
        </w:rPr>
      </w:pPr>
      <w:r>
        <w:rPr>
          <w:highlight w:val="none"/>
        </w:rPr>
        <w:fldChar w:fldCharType="begin"/>
      </w:r>
      <w:r>
        <w:rPr>
          <w:highlight w:val="none"/>
        </w:rPr>
        <w:instrText xml:space="preserve"> HYPERLINK \l "_Toc184723303" </w:instrText>
      </w:r>
      <w:r>
        <w:rPr>
          <w:highlight w:val="none"/>
        </w:rPr>
        <w:fldChar w:fldCharType="separate"/>
      </w:r>
      <w:r>
        <w:rPr>
          <w:rStyle w:val="48"/>
          <w:rFonts w:hint="eastAsia" w:ascii="Times New Roman"/>
          <w:b/>
          <w:highlight w:val="none"/>
        </w:rPr>
        <w:t>第四部分评审办法</w:t>
      </w:r>
      <w:r>
        <w:rPr>
          <w:b/>
          <w:highlight w:val="none"/>
        </w:rPr>
        <w:tab/>
      </w:r>
      <w:r>
        <w:rPr>
          <w:b/>
          <w:highlight w:val="none"/>
        </w:rPr>
        <w:fldChar w:fldCharType="begin"/>
      </w:r>
      <w:r>
        <w:rPr>
          <w:b/>
          <w:highlight w:val="none"/>
        </w:rPr>
        <w:instrText xml:space="preserve"> PAGEREF _Toc184723303 \h </w:instrText>
      </w:r>
      <w:r>
        <w:rPr>
          <w:b/>
          <w:highlight w:val="none"/>
        </w:rPr>
        <w:fldChar w:fldCharType="separate"/>
      </w:r>
      <w:r>
        <w:rPr>
          <w:b/>
          <w:highlight w:val="none"/>
        </w:rPr>
        <w:t>17</w:t>
      </w:r>
      <w:r>
        <w:rPr>
          <w:b/>
          <w:highlight w:val="none"/>
        </w:rPr>
        <w:fldChar w:fldCharType="end"/>
      </w:r>
      <w:r>
        <w:rPr>
          <w:b/>
          <w:highlight w:val="none"/>
        </w:rPr>
        <w:fldChar w:fldCharType="end"/>
      </w:r>
    </w:p>
    <w:p w14:paraId="54D91154">
      <w:pPr>
        <w:pStyle w:val="30"/>
        <w:spacing w:line="500" w:lineRule="exact"/>
        <w:rPr>
          <w:rFonts w:asciiTheme="minorHAnsi" w:hAnsiTheme="minorHAnsi" w:eastAsiaTheme="minorEastAsia" w:cstheme="minorBidi"/>
          <w:b/>
          <w:bCs w:val="0"/>
          <w:sz w:val="21"/>
          <w:szCs w:val="22"/>
          <w:highlight w:val="none"/>
        </w:rPr>
      </w:pPr>
      <w:r>
        <w:rPr>
          <w:highlight w:val="none"/>
        </w:rPr>
        <w:fldChar w:fldCharType="begin"/>
      </w:r>
      <w:r>
        <w:rPr>
          <w:highlight w:val="none"/>
        </w:rPr>
        <w:instrText xml:space="preserve"> HYPERLINK \l "_Toc184723306" </w:instrText>
      </w:r>
      <w:r>
        <w:rPr>
          <w:highlight w:val="none"/>
        </w:rPr>
        <w:fldChar w:fldCharType="separate"/>
      </w:r>
      <w:r>
        <w:rPr>
          <w:rStyle w:val="48"/>
          <w:rFonts w:hint="eastAsia" w:ascii="Times New Roman"/>
          <w:b/>
          <w:highlight w:val="none"/>
        </w:rPr>
        <w:t>第五部分合同书格式</w:t>
      </w:r>
      <w:r>
        <w:rPr>
          <w:b/>
          <w:highlight w:val="none"/>
        </w:rPr>
        <w:tab/>
      </w:r>
      <w:r>
        <w:rPr>
          <w:b/>
          <w:highlight w:val="none"/>
        </w:rPr>
        <w:fldChar w:fldCharType="begin"/>
      </w:r>
      <w:r>
        <w:rPr>
          <w:b/>
          <w:highlight w:val="none"/>
        </w:rPr>
        <w:instrText xml:space="preserve"> PAGEREF _Toc184723306 \h </w:instrText>
      </w:r>
      <w:r>
        <w:rPr>
          <w:b/>
          <w:highlight w:val="none"/>
        </w:rPr>
        <w:fldChar w:fldCharType="separate"/>
      </w:r>
      <w:r>
        <w:rPr>
          <w:b/>
          <w:highlight w:val="none"/>
        </w:rPr>
        <w:t>20</w:t>
      </w:r>
      <w:r>
        <w:rPr>
          <w:b/>
          <w:highlight w:val="none"/>
        </w:rPr>
        <w:fldChar w:fldCharType="end"/>
      </w:r>
      <w:r>
        <w:rPr>
          <w:b/>
          <w:highlight w:val="none"/>
        </w:rPr>
        <w:fldChar w:fldCharType="end"/>
      </w:r>
    </w:p>
    <w:p w14:paraId="44C9F98E">
      <w:pPr>
        <w:pStyle w:val="30"/>
        <w:spacing w:line="500" w:lineRule="exact"/>
        <w:rPr>
          <w:rFonts w:asciiTheme="minorHAnsi" w:hAnsiTheme="minorHAnsi" w:eastAsiaTheme="minorEastAsia" w:cstheme="minorBidi"/>
          <w:b/>
          <w:bCs w:val="0"/>
          <w:sz w:val="21"/>
          <w:szCs w:val="22"/>
          <w:highlight w:val="none"/>
        </w:rPr>
      </w:pPr>
      <w:r>
        <w:rPr>
          <w:highlight w:val="none"/>
        </w:rPr>
        <w:fldChar w:fldCharType="begin"/>
      </w:r>
      <w:r>
        <w:rPr>
          <w:highlight w:val="none"/>
        </w:rPr>
        <w:instrText xml:space="preserve"> HYPERLINK \l "_Toc184723378" </w:instrText>
      </w:r>
      <w:r>
        <w:rPr>
          <w:highlight w:val="none"/>
        </w:rPr>
        <w:fldChar w:fldCharType="separate"/>
      </w:r>
      <w:r>
        <w:rPr>
          <w:rStyle w:val="48"/>
          <w:rFonts w:hint="eastAsia"/>
          <w:b/>
          <w:highlight w:val="none"/>
        </w:rPr>
        <w:t>第六部分遴选响应文件格式</w:t>
      </w:r>
      <w:r>
        <w:rPr>
          <w:b/>
          <w:highlight w:val="none"/>
        </w:rPr>
        <w:tab/>
      </w:r>
      <w:r>
        <w:rPr>
          <w:b/>
          <w:highlight w:val="none"/>
        </w:rPr>
        <w:fldChar w:fldCharType="begin"/>
      </w:r>
      <w:r>
        <w:rPr>
          <w:b/>
          <w:highlight w:val="none"/>
        </w:rPr>
        <w:instrText xml:space="preserve"> PAGEREF _Toc184723378 \h </w:instrText>
      </w:r>
      <w:r>
        <w:rPr>
          <w:b/>
          <w:highlight w:val="none"/>
        </w:rPr>
        <w:fldChar w:fldCharType="separate"/>
      </w:r>
      <w:r>
        <w:rPr>
          <w:b/>
          <w:highlight w:val="none"/>
        </w:rPr>
        <w:t>26</w:t>
      </w:r>
      <w:r>
        <w:rPr>
          <w:b/>
          <w:highlight w:val="none"/>
        </w:rPr>
        <w:fldChar w:fldCharType="end"/>
      </w:r>
      <w:r>
        <w:rPr>
          <w:b/>
          <w:highlight w:val="none"/>
        </w:rPr>
        <w:fldChar w:fldCharType="end"/>
      </w:r>
    </w:p>
    <w:p w14:paraId="2AA83633">
      <w:pPr>
        <w:spacing w:line="500" w:lineRule="exact"/>
        <w:rPr>
          <w:highlight w:val="none"/>
        </w:rPr>
      </w:pPr>
      <w:r>
        <w:rPr>
          <w:rFonts w:ascii="宋体" w:hAnsi="宋体" w:eastAsia="宋体"/>
          <w:b/>
          <w:sz w:val="24"/>
          <w:szCs w:val="24"/>
          <w:highlight w:val="none"/>
        </w:rPr>
        <w:fldChar w:fldCharType="end"/>
      </w:r>
      <w:bookmarkStart w:id="4" w:name="_Toc51756448"/>
      <w:bookmarkStart w:id="5" w:name="_Toc51939413"/>
      <w:bookmarkStart w:id="6" w:name="_Toc52021495"/>
      <w:bookmarkStart w:id="7" w:name="_Toc56352965"/>
      <w:bookmarkStart w:id="8" w:name="_Toc52027882"/>
      <w:bookmarkStart w:id="9" w:name="_Toc476976153"/>
      <w:bookmarkStart w:id="10" w:name="_Toc467236720"/>
      <w:bookmarkStart w:id="11" w:name="_Toc486671525"/>
    </w:p>
    <w:p w14:paraId="72887E8A">
      <w:pPr>
        <w:pStyle w:val="2"/>
        <w:keepNext w:val="0"/>
        <w:keepLines w:val="0"/>
        <w:snapToGrid w:val="0"/>
        <w:spacing w:before="0" w:after="0" w:line="360" w:lineRule="auto"/>
        <w:ind w:firstLine="426" w:firstLineChars="118"/>
        <w:jc w:val="center"/>
        <w:rPr>
          <w:rFonts w:ascii="Times New Roman"/>
          <w:sz w:val="36"/>
          <w:szCs w:val="28"/>
          <w:highlight w:val="none"/>
        </w:rPr>
      </w:pPr>
      <w:bookmarkStart w:id="12" w:name="_Toc184723187"/>
      <w:r>
        <w:rPr>
          <w:rFonts w:ascii="Times New Roman"/>
          <w:sz w:val="36"/>
          <w:szCs w:val="28"/>
          <w:highlight w:val="none"/>
        </w:rPr>
        <w:t>第一部分</w:t>
      </w:r>
      <w:bookmarkEnd w:id="4"/>
      <w:bookmarkEnd w:id="5"/>
      <w:bookmarkEnd w:id="6"/>
      <w:bookmarkEnd w:id="7"/>
      <w:bookmarkEnd w:id="8"/>
      <w:r>
        <w:rPr>
          <w:rFonts w:hint="eastAsia" w:ascii="Times New Roman"/>
          <w:sz w:val="36"/>
          <w:szCs w:val="28"/>
          <w:highlight w:val="none"/>
        </w:rPr>
        <w:t xml:space="preserve"> 遴选</w:t>
      </w:r>
      <w:bookmarkEnd w:id="0"/>
      <w:bookmarkEnd w:id="9"/>
      <w:bookmarkEnd w:id="10"/>
      <w:bookmarkEnd w:id="11"/>
      <w:r>
        <w:rPr>
          <w:rFonts w:hint="eastAsia" w:ascii="Times New Roman"/>
          <w:sz w:val="36"/>
          <w:szCs w:val="28"/>
          <w:highlight w:val="none"/>
        </w:rPr>
        <w:t>公告</w:t>
      </w:r>
      <w:bookmarkEnd w:id="12"/>
    </w:p>
    <w:p w14:paraId="156A88A6">
      <w:pPr>
        <w:spacing w:line="360" w:lineRule="auto"/>
        <w:ind w:firstLine="480" w:firstLineChars="200"/>
        <w:rPr>
          <w:rFonts w:ascii="宋体" w:hAnsi="宋体" w:eastAsia="宋体" w:cs="宋体"/>
          <w:sz w:val="24"/>
          <w:szCs w:val="24"/>
          <w:highlight w:val="none"/>
        </w:rPr>
      </w:pPr>
      <w:bookmarkStart w:id="13" w:name="_Hlk169100961"/>
      <w:r>
        <w:rPr>
          <w:rFonts w:hint="eastAsia" w:ascii="宋体" w:hAnsi="宋体" w:eastAsia="宋体"/>
          <w:bCs/>
          <w:sz w:val="24"/>
          <w:szCs w:val="21"/>
          <w:highlight w:val="none"/>
        </w:rPr>
        <w:t>本院因业务开展的需要，将对</w:t>
      </w:r>
      <w:r>
        <w:rPr>
          <w:rFonts w:hint="eastAsia" w:ascii="宋体" w:hAnsi="宋体" w:eastAsia="宋体"/>
          <w:b/>
          <w:bCs/>
          <w:sz w:val="24"/>
          <w:szCs w:val="21"/>
          <w:highlight w:val="none"/>
        </w:rPr>
        <w:t>开平市中医院</w:t>
      </w:r>
      <w:r>
        <w:rPr>
          <w:rFonts w:hint="eastAsia" w:ascii="宋体" w:hAnsi="宋体" w:eastAsia="宋体"/>
          <w:b/>
          <w:bCs/>
          <w:sz w:val="24"/>
          <w:szCs w:val="21"/>
          <w:highlight w:val="none"/>
          <w:lang w:val="en-US" w:eastAsia="zh-CN"/>
        </w:rPr>
        <w:t>体检系统</w:t>
      </w:r>
      <w:r>
        <w:rPr>
          <w:rFonts w:hint="eastAsia" w:ascii="宋体" w:hAnsi="宋体" w:eastAsia="宋体"/>
          <w:b/>
          <w:bCs/>
          <w:sz w:val="24"/>
          <w:szCs w:val="21"/>
          <w:highlight w:val="none"/>
        </w:rPr>
        <w:t>采购项目</w:t>
      </w:r>
      <w:r>
        <w:rPr>
          <w:rFonts w:ascii="宋体" w:hAnsi="宋体" w:eastAsia="宋体"/>
          <w:bCs/>
          <w:sz w:val="24"/>
          <w:szCs w:val="21"/>
          <w:highlight w:val="none"/>
        </w:rPr>
        <w:t>进行</w:t>
      </w:r>
      <w:r>
        <w:rPr>
          <w:rFonts w:hint="eastAsia" w:ascii="宋体" w:hAnsi="宋体" w:eastAsia="宋体"/>
          <w:b/>
          <w:sz w:val="24"/>
          <w:szCs w:val="21"/>
          <w:highlight w:val="none"/>
        </w:rPr>
        <w:t>院内遴选</w:t>
      </w:r>
      <w:r>
        <w:rPr>
          <w:rFonts w:ascii="宋体" w:hAnsi="宋体" w:eastAsia="宋体"/>
          <w:bCs/>
          <w:sz w:val="24"/>
          <w:szCs w:val="21"/>
          <w:highlight w:val="none"/>
        </w:rPr>
        <w:t>采购</w:t>
      </w:r>
      <w:r>
        <w:rPr>
          <w:rFonts w:hint="eastAsia" w:ascii="宋体" w:hAnsi="宋体" w:eastAsia="宋体"/>
          <w:bCs/>
          <w:sz w:val="24"/>
          <w:szCs w:val="21"/>
          <w:highlight w:val="none"/>
        </w:rPr>
        <w:t>，欢迎具备相应资质和供货能力的供应商参与遴选。相关事宜公告如下：</w:t>
      </w:r>
    </w:p>
    <w:p w14:paraId="7E198907">
      <w:pPr>
        <w:numPr>
          <w:ilvl w:val="0"/>
          <w:numId w:val="2"/>
        </w:numPr>
        <w:spacing w:line="360" w:lineRule="auto"/>
        <w:outlineLvl w:val="1"/>
        <w:rPr>
          <w:rFonts w:ascii="宋体" w:hAnsi="宋体" w:eastAsia="宋体"/>
          <w:b/>
          <w:bCs/>
          <w:sz w:val="24"/>
          <w:szCs w:val="21"/>
          <w:highlight w:val="none"/>
        </w:rPr>
      </w:pPr>
      <w:bookmarkStart w:id="14" w:name="_Toc184723188"/>
      <w:r>
        <w:rPr>
          <w:rFonts w:hint="eastAsia" w:ascii="宋体" w:hAnsi="宋体" w:eastAsia="宋体"/>
          <w:b/>
          <w:bCs/>
          <w:sz w:val="24"/>
          <w:szCs w:val="21"/>
          <w:highlight w:val="none"/>
        </w:rPr>
        <w:t>项目基本情况</w:t>
      </w:r>
      <w:bookmarkEnd w:id="14"/>
    </w:p>
    <w:p w14:paraId="5C082090">
      <w:pPr>
        <w:spacing w:line="360" w:lineRule="auto"/>
        <w:ind w:left="482"/>
        <w:rPr>
          <w:rFonts w:ascii="宋体" w:hAnsi="宋体" w:eastAsia="宋体"/>
          <w:b/>
          <w:bCs/>
          <w:sz w:val="24"/>
          <w:szCs w:val="21"/>
          <w:highlight w:val="none"/>
          <w:u w:val="single"/>
        </w:rPr>
      </w:pPr>
      <w:r>
        <w:rPr>
          <w:rFonts w:hint="eastAsia" w:ascii="宋体" w:hAnsi="宋体" w:eastAsia="宋体"/>
          <w:b/>
          <w:bCs/>
          <w:sz w:val="24"/>
          <w:szCs w:val="21"/>
          <w:highlight w:val="none"/>
        </w:rPr>
        <w:t>1、采购项目名称：</w:t>
      </w:r>
      <w:r>
        <w:rPr>
          <w:rFonts w:hint="eastAsia" w:ascii="宋体" w:hAnsi="宋体" w:eastAsia="宋体"/>
          <w:b/>
          <w:bCs/>
          <w:sz w:val="24"/>
          <w:szCs w:val="21"/>
          <w:highlight w:val="none"/>
          <w:u w:val="single"/>
        </w:rPr>
        <w:t>开平市中医院</w:t>
      </w:r>
      <w:r>
        <w:rPr>
          <w:rFonts w:hint="eastAsia" w:ascii="宋体" w:hAnsi="宋体" w:eastAsia="宋体"/>
          <w:b/>
          <w:bCs/>
          <w:sz w:val="24"/>
          <w:szCs w:val="21"/>
          <w:highlight w:val="none"/>
          <w:u w:val="single"/>
          <w:lang w:val="en-US" w:eastAsia="zh-CN"/>
        </w:rPr>
        <w:t>体检系统</w:t>
      </w:r>
      <w:r>
        <w:rPr>
          <w:rFonts w:hint="eastAsia" w:ascii="宋体" w:hAnsi="宋体" w:eastAsia="宋体"/>
          <w:b/>
          <w:bCs/>
          <w:sz w:val="24"/>
          <w:szCs w:val="21"/>
          <w:highlight w:val="none"/>
          <w:u w:val="single"/>
        </w:rPr>
        <w:t>采购项目</w:t>
      </w:r>
    </w:p>
    <w:p w14:paraId="3AE16708">
      <w:pPr>
        <w:spacing w:line="360" w:lineRule="auto"/>
        <w:ind w:left="482"/>
        <w:rPr>
          <w:rFonts w:hint="eastAsia" w:ascii="宋体" w:hAnsi="宋体" w:eastAsia="宋体"/>
          <w:b/>
          <w:bCs/>
          <w:sz w:val="24"/>
          <w:szCs w:val="21"/>
          <w:highlight w:val="none"/>
          <w:lang w:eastAsia="zh-CN"/>
        </w:rPr>
      </w:pPr>
      <w:r>
        <w:rPr>
          <w:rFonts w:hint="eastAsia" w:ascii="宋体" w:hAnsi="宋体" w:eastAsia="宋体"/>
          <w:b/>
          <w:bCs/>
          <w:sz w:val="24"/>
          <w:szCs w:val="21"/>
          <w:highlight w:val="none"/>
        </w:rPr>
        <w:t>2、项目编号：ZYYCG-2025-0</w:t>
      </w:r>
      <w:r>
        <w:rPr>
          <w:rFonts w:hint="eastAsia" w:ascii="宋体" w:hAnsi="宋体" w:eastAsia="宋体"/>
          <w:b/>
          <w:bCs/>
          <w:sz w:val="24"/>
          <w:szCs w:val="21"/>
          <w:highlight w:val="none"/>
          <w:lang w:val="en-US" w:eastAsia="zh-CN"/>
        </w:rPr>
        <w:t>4</w:t>
      </w:r>
      <w:r>
        <w:rPr>
          <w:rFonts w:hint="eastAsia" w:ascii="宋体" w:hAnsi="宋体" w:eastAsia="宋体"/>
          <w:b/>
          <w:bCs/>
          <w:sz w:val="24"/>
          <w:szCs w:val="21"/>
          <w:highlight w:val="none"/>
        </w:rPr>
        <w:t>0</w:t>
      </w:r>
      <w:r>
        <w:rPr>
          <w:rFonts w:hint="eastAsia" w:ascii="宋体" w:hAnsi="宋体" w:eastAsia="宋体"/>
          <w:b/>
          <w:bCs/>
          <w:sz w:val="24"/>
          <w:szCs w:val="21"/>
          <w:highlight w:val="none"/>
          <w:lang w:val="en-US" w:eastAsia="zh-CN"/>
        </w:rPr>
        <w:t>1</w:t>
      </w:r>
    </w:p>
    <w:p w14:paraId="684DFB16">
      <w:pPr>
        <w:spacing w:line="360" w:lineRule="auto"/>
        <w:ind w:left="482"/>
        <w:rPr>
          <w:rFonts w:ascii="宋体" w:hAnsi="宋体" w:eastAsia="宋体"/>
          <w:b/>
          <w:bCs/>
          <w:sz w:val="24"/>
          <w:szCs w:val="21"/>
          <w:highlight w:val="none"/>
        </w:rPr>
      </w:pPr>
      <w:r>
        <w:rPr>
          <w:rFonts w:hint="eastAsia" w:ascii="宋体" w:hAnsi="宋体" w:eastAsia="宋体"/>
          <w:b/>
          <w:bCs/>
          <w:sz w:val="24"/>
          <w:szCs w:val="21"/>
          <w:highlight w:val="none"/>
        </w:rPr>
        <w:t>3、采购项目预算金额：</w:t>
      </w:r>
      <w:r>
        <w:rPr>
          <w:rFonts w:hint="eastAsia" w:ascii="宋体" w:hAnsi="宋体" w:eastAsia="宋体"/>
          <w:b/>
          <w:bCs/>
          <w:sz w:val="24"/>
          <w:szCs w:val="21"/>
          <w:highlight w:val="none"/>
          <w:u w:val="single"/>
          <w:lang w:val="en-US" w:eastAsia="zh-CN"/>
        </w:rPr>
        <w:t>28</w:t>
      </w:r>
      <w:r>
        <w:rPr>
          <w:rFonts w:hint="eastAsia" w:ascii="宋体" w:hAnsi="宋体" w:eastAsia="宋体"/>
          <w:b/>
          <w:bCs/>
          <w:sz w:val="24"/>
          <w:szCs w:val="21"/>
          <w:highlight w:val="none"/>
          <w:u w:val="single"/>
        </w:rPr>
        <w:t>万</w:t>
      </w:r>
      <w:r>
        <w:rPr>
          <w:rFonts w:hint="eastAsia" w:ascii="宋体" w:hAnsi="宋体" w:eastAsia="宋体"/>
          <w:b/>
          <w:bCs/>
          <w:sz w:val="24"/>
          <w:szCs w:val="21"/>
          <w:highlight w:val="none"/>
        </w:rPr>
        <w:t>元（</w:t>
      </w:r>
      <w:r>
        <w:rPr>
          <w:rFonts w:hint="eastAsia" w:ascii="宋体" w:hAnsi="宋体" w:eastAsia="宋体"/>
          <w:b/>
          <w:bCs/>
          <w:sz w:val="24"/>
          <w:szCs w:val="21"/>
          <w:highlight w:val="none"/>
          <w:lang w:val="en-US" w:eastAsia="zh-CN"/>
        </w:rPr>
        <w:t>预算金额为含税价，</w:t>
      </w:r>
      <w:r>
        <w:rPr>
          <w:rFonts w:hint="eastAsia" w:ascii="宋体" w:hAnsi="宋体" w:eastAsia="宋体"/>
          <w:b/>
          <w:bCs/>
          <w:sz w:val="24"/>
          <w:szCs w:val="21"/>
          <w:highlight w:val="none"/>
        </w:rPr>
        <w:t>包含</w:t>
      </w:r>
      <w:r>
        <w:rPr>
          <w:rFonts w:hint="eastAsia" w:ascii="宋体" w:hAnsi="宋体" w:eastAsia="宋体"/>
          <w:b/>
          <w:bCs/>
          <w:sz w:val="24"/>
          <w:szCs w:val="21"/>
          <w:highlight w:val="none"/>
          <w:lang w:val="en-US" w:eastAsia="zh-CN"/>
        </w:rPr>
        <w:t>体检系统软件1套及配套的安装、调试、培训等费用，包括与省级职业体检平台、区域健康档案平台及HIS、LIS、PACS、心电图系统等医院在用系统连接的数据接口费用</w:t>
      </w:r>
      <w:r>
        <w:rPr>
          <w:rFonts w:hint="eastAsia" w:ascii="宋体" w:hAnsi="宋体" w:eastAsia="宋体"/>
          <w:b/>
          <w:bCs/>
          <w:sz w:val="24"/>
          <w:szCs w:val="21"/>
          <w:highlight w:val="none"/>
        </w:rPr>
        <w:t>）</w:t>
      </w:r>
    </w:p>
    <w:p w14:paraId="55F7F0B2">
      <w:pPr>
        <w:spacing w:line="360" w:lineRule="auto"/>
        <w:ind w:left="482"/>
        <w:rPr>
          <w:rFonts w:ascii="宋体" w:hAnsi="宋体" w:eastAsia="宋体"/>
          <w:b/>
          <w:bCs/>
          <w:sz w:val="24"/>
          <w:szCs w:val="21"/>
          <w:highlight w:val="none"/>
        </w:rPr>
      </w:pPr>
      <w:r>
        <w:rPr>
          <w:rFonts w:hint="eastAsia" w:ascii="宋体" w:hAnsi="宋体" w:eastAsia="宋体"/>
          <w:b/>
          <w:bCs/>
          <w:sz w:val="24"/>
          <w:szCs w:val="21"/>
          <w:highlight w:val="none"/>
        </w:rPr>
        <w:t>4、采购数量：</w:t>
      </w:r>
      <w:r>
        <w:rPr>
          <w:rFonts w:hint="eastAsia" w:ascii="宋体" w:hAnsi="宋体" w:eastAsia="宋体"/>
          <w:b/>
          <w:bCs/>
          <w:sz w:val="24"/>
          <w:szCs w:val="21"/>
          <w:highlight w:val="none"/>
          <w:u w:val="single"/>
        </w:rPr>
        <w:t xml:space="preserve"> 1 </w:t>
      </w:r>
      <w:r>
        <w:rPr>
          <w:rFonts w:hint="eastAsia" w:ascii="宋体" w:hAnsi="宋体" w:eastAsia="宋体"/>
          <w:b/>
          <w:bCs/>
          <w:sz w:val="24"/>
          <w:szCs w:val="21"/>
          <w:highlight w:val="none"/>
        </w:rPr>
        <w:t xml:space="preserve">项 </w:t>
      </w:r>
    </w:p>
    <w:p w14:paraId="166DF37A">
      <w:pPr>
        <w:spacing w:line="360" w:lineRule="auto"/>
        <w:ind w:firstLine="482" w:firstLineChars="200"/>
        <w:rPr>
          <w:rFonts w:hint="default" w:ascii="宋体" w:hAnsi="宋体" w:eastAsia="宋体"/>
          <w:b/>
          <w:bCs/>
          <w:sz w:val="24"/>
          <w:szCs w:val="21"/>
          <w:highlight w:val="none"/>
          <w:u w:val="single"/>
          <w:lang w:val="en-US" w:eastAsia="zh-CN"/>
        </w:rPr>
      </w:pPr>
      <w:r>
        <w:rPr>
          <w:rFonts w:hint="eastAsia" w:ascii="宋体" w:hAnsi="宋体" w:eastAsia="宋体"/>
          <w:b/>
          <w:bCs/>
          <w:sz w:val="24"/>
          <w:szCs w:val="21"/>
          <w:highlight w:val="none"/>
        </w:rPr>
        <w:t>5、项目内容及需求：</w:t>
      </w:r>
      <w:r>
        <w:rPr>
          <w:rFonts w:hint="eastAsia" w:ascii="宋体" w:hAnsi="宋体" w:eastAsia="宋体"/>
          <w:b/>
          <w:bCs/>
          <w:sz w:val="24"/>
          <w:szCs w:val="21"/>
          <w:highlight w:val="none"/>
          <w:u w:val="single"/>
        </w:rPr>
        <w:t>主要内容包括</w:t>
      </w:r>
      <w:r>
        <w:rPr>
          <w:rFonts w:hint="eastAsia" w:ascii="宋体" w:hAnsi="宋体" w:eastAsia="宋体"/>
          <w:b/>
          <w:bCs/>
          <w:sz w:val="24"/>
          <w:szCs w:val="21"/>
          <w:highlight w:val="none"/>
          <w:u w:val="single"/>
          <w:lang w:val="en-US" w:eastAsia="zh-CN"/>
        </w:rPr>
        <w:t>体检系统软件1套及配套的安装、调试、培训等，该系统应具备普通体检、职业体检、健康证体检一体化功能，能够全面覆盖采购人的体检业务需求，同时确保系统与广东省职业健康检查质量控制中心的对接和数据交换</w:t>
      </w:r>
      <w:r>
        <w:rPr>
          <w:rFonts w:hint="eastAsia" w:ascii="宋体" w:hAnsi="宋体" w:eastAsia="宋体"/>
          <w:b/>
          <w:bCs/>
          <w:sz w:val="24"/>
          <w:szCs w:val="21"/>
          <w:highlight w:val="none"/>
          <w:u w:val="single"/>
        </w:rPr>
        <w:t>。</w:t>
      </w:r>
      <w:r>
        <w:rPr>
          <w:rFonts w:hint="eastAsia" w:ascii="宋体" w:hAnsi="宋体" w:eastAsia="宋体"/>
          <w:b/>
          <w:bCs/>
          <w:sz w:val="24"/>
          <w:szCs w:val="21"/>
          <w:highlight w:val="none"/>
          <w:u w:val="single"/>
          <w:lang w:val="en-US" w:eastAsia="zh-CN"/>
        </w:rPr>
        <w:t>此外，该系统还应具备高度的灵活性和可扩展性，能够根据采购人未来的业务发展需求进行功能定制和升级。同时，提供与HIS、LIS、PACS、心电图系统等采购人在用信息系统连接的数据接口并完成数据对接。</w:t>
      </w:r>
    </w:p>
    <w:p w14:paraId="79C1B552">
      <w:pPr>
        <w:spacing w:line="360" w:lineRule="auto"/>
        <w:ind w:firstLine="482" w:firstLineChars="200"/>
        <w:rPr>
          <w:rFonts w:ascii="宋体" w:hAnsi="宋体" w:eastAsia="宋体"/>
          <w:b/>
          <w:bCs/>
          <w:sz w:val="24"/>
          <w:szCs w:val="21"/>
          <w:highlight w:val="none"/>
        </w:rPr>
      </w:pPr>
      <w:r>
        <w:rPr>
          <w:rFonts w:hint="eastAsia" w:ascii="宋体" w:hAnsi="宋体" w:eastAsia="宋体"/>
          <w:b/>
          <w:bCs/>
          <w:sz w:val="24"/>
          <w:szCs w:val="21"/>
          <w:highlight w:val="none"/>
        </w:rPr>
        <w:t>6、</w:t>
      </w:r>
      <w:bookmarkStart w:id="15" w:name="_Hlk169269332"/>
      <w:r>
        <w:rPr>
          <w:rFonts w:hint="eastAsia" w:ascii="宋体" w:hAnsi="宋体" w:eastAsia="宋体"/>
          <w:b/>
          <w:bCs/>
          <w:sz w:val="24"/>
          <w:szCs w:val="21"/>
          <w:highlight w:val="none"/>
        </w:rPr>
        <w:t>工期</w:t>
      </w:r>
      <w:bookmarkEnd w:id="15"/>
      <w:r>
        <w:rPr>
          <w:rFonts w:hint="eastAsia" w:ascii="宋体" w:hAnsi="宋体" w:eastAsia="宋体"/>
          <w:b/>
          <w:bCs/>
          <w:sz w:val="24"/>
          <w:szCs w:val="21"/>
          <w:highlight w:val="none"/>
        </w:rPr>
        <w:t>：</w:t>
      </w:r>
      <w:r>
        <w:rPr>
          <w:rFonts w:hint="eastAsia" w:ascii="宋体" w:hAnsi="宋体" w:eastAsia="宋体"/>
          <w:b/>
          <w:bCs/>
          <w:sz w:val="24"/>
          <w:szCs w:val="21"/>
          <w:highlight w:val="none"/>
          <w:u w:val="single"/>
          <w:lang w:val="en-US" w:eastAsia="zh-CN"/>
        </w:rPr>
        <w:t>9</w:t>
      </w:r>
      <w:r>
        <w:rPr>
          <w:rFonts w:hint="eastAsia" w:ascii="宋体" w:hAnsi="宋体" w:eastAsia="宋体"/>
          <w:b/>
          <w:bCs/>
          <w:sz w:val="24"/>
          <w:szCs w:val="21"/>
          <w:highlight w:val="none"/>
          <w:u w:val="single"/>
        </w:rPr>
        <w:t xml:space="preserve">0 </w:t>
      </w:r>
      <w:r>
        <w:rPr>
          <w:rFonts w:hint="eastAsia" w:ascii="宋体" w:hAnsi="宋体" w:eastAsia="宋体"/>
          <w:b/>
          <w:bCs/>
          <w:sz w:val="24"/>
          <w:szCs w:val="21"/>
          <w:highlight w:val="none"/>
        </w:rPr>
        <w:t>个日历天，从合同签订生效之日起开始计算。</w:t>
      </w:r>
    </w:p>
    <w:p w14:paraId="4AB8D8E3">
      <w:pPr>
        <w:spacing w:line="360" w:lineRule="auto"/>
        <w:ind w:firstLine="482" w:firstLineChars="200"/>
        <w:rPr>
          <w:rFonts w:ascii="宋体" w:hAnsi="宋体" w:eastAsia="宋体"/>
          <w:b/>
          <w:bCs/>
          <w:sz w:val="24"/>
          <w:szCs w:val="21"/>
          <w:highlight w:val="none"/>
        </w:rPr>
      </w:pPr>
      <w:r>
        <w:rPr>
          <w:rFonts w:hint="eastAsia" w:ascii="宋体" w:hAnsi="宋体" w:eastAsia="宋体"/>
          <w:b/>
          <w:bCs/>
          <w:sz w:val="24"/>
          <w:szCs w:val="21"/>
          <w:highlight w:val="none"/>
        </w:rPr>
        <w:t>7、质量要求：符合国家及行业现行有关规范和标准</w:t>
      </w:r>
      <w:r>
        <w:rPr>
          <w:rFonts w:hint="eastAsia" w:ascii="宋体" w:hAnsi="宋体" w:eastAsia="宋体"/>
          <w:b/>
          <w:bCs/>
          <w:sz w:val="24"/>
          <w:szCs w:val="21"/>
          <w:highlight w:val="none"/>
          <w:lang w:eastAsia="zh-CN"/>
        </w:rPr>
        <w:t>，</w:t>
      </w:r>
      <w:r>
        <w:rPr>
          <w:rFonts w:hint="eastAsia" w:ascii="宋体" w:hAnsi="宋体" w:eastAsia="宋体"/>
          <w:b/>
          <w:bCs/>
          <w:sz w:val="24"/>
          <w:szCs w:val="21"/>
          <w:highlight w:val="none"/>
          <w:lang w:val="en-US" w:eastAsia="zh-CN"/>
        </w:rPr>
        <w:t>满足采购人的使用需求</w:t>
      </w:r>
      <w:r>
        <w:rPr>
          <w:rFonts w:hint="eastAsia" w:ascii="宋体" w:hAnsi="宋体" w:eastAsia="宋体"/>
          <w:b/>
          <w:bCs/>
          <w:sz w:val="24"/>
          <w:szCs w:val="21"/>
          <w:highlight w:val="none"/>
        </w:rPr>
        <w:t>。</w:t>
      </w:r>
    </w:p>
    <w:bookmarkEnd w:id="13"/>
    <w:p w14:paraId="2B7EB446">
      <w:pPr>
        <w:numPr>
          <w:ilvl w:val="0"/>
          <w:numId w:val="2"/>
        </w:numPr>
        <w:spacing w:line="360" w:lineRule="auto"/>
        <w:outlineLvl w:val="1"/>
        <w:rPr>
          <w:rFonts w:eastAsia="宋体"/>
          <w:b/>
          <w:bCs/>
          <w:sz w:val="24"/>
          <w:szCs w:val="21"/>
          <w:highlight w:val="none"/>
        </w:rPr>
      </w:pPr>
      <w:bookmarkStart w:id="16" w:name="_Toc184723189"/>
      <w:r>
        <w:rPr>
          <w:rFonts w:hint="eastAsia" w:eastAsia="宋体"/>
          <w:b/>
          <w:bCs/>
          <w:sz w:val="24"/>
          <w:szCs w:val="21"/>
          <w:highlight w:val="none"/>
        </w:rPr>
        <w:t>供应商资格条件</w:t>
      </w:r>
      <w:bookmarkEnd w:id="16"/>
    </w:p>
    <w:p w14:paraId="6CB4CA15">
      <w:pPr>
        <w:spacing w:line="360" w:lineRule="auto"/>
        <w:ind w:firstLine="420"/>
        <w:outlineLvl w:val="1"/>
        <w:rPr>
          <w:rFonts w:eastAsia="宋体"/>
          <w:bCs/>
          <w:sz w:val="24"/>
          <w:szCs w:val="21"/>
          <w:highlight w:val="none"/>
        </w:rPr>
      </w:pPr>
      <w:bookmarkStart w:id="17" w:name="_Toc184723190"/>
      <w:r>
        <w:rPr>
          <w:rFonts w:hint="eastAsia" w:eastAsia="宋体"/>
          <w:bCs/>
          <w:sz w:val="24"/>
          <w:szCs w:val="21"/>
          <w:highlight w:val="none"/>
        </w:rPr>
        <w:t>供应商必须满足以下资格要求中的所有条款，并按照相关规定递交资格证明文件。</w:t>
      </w:r>
      <w:bookmarkEnd w:id="17"/>
    </w:p>
    <w:p w14:paraId="3EEC203A">
      <w:pPr>
        <w:spacing w:line="360" w:lineRule="auto"/>
        <w:ind w:firstLine="420"/>
        <w:outlineLvl w:val="1"/>
        <w:rPr>
          <w:rFonts w:ascii="宋体" w:hAnsi="宋体" w:eastAsia="宋体"/>
          <w:sz w:val="24"/>
          <w:szCs w:val="21"/>
          <w:highlight w:val="none"/>
        </w:rPr>
      </w:pPr>
      <w:bookmarkStart w:id="18" w:name="_Toc184723191"/>
      <w:r>
        <w:rPr>
          <w:rFonts w:hint="eastAsia" w:eastAsia="宋体"/>
          <w:bCs/>
          <w:sz w:val="24"/>
          <w:szCs w:val="21"/>
          <w:highlight w:val="none"/>
        </w:rPr>
        <w:t>1、</w:t>
      </w:r>
      <w:r>
        <w:rPr>
          <w:rFonts w:hint="eastAsia" w:ascii="宋体" w:hAnsi="宋体" w:eastAsia="宋体"/>
          <w:sz w:val="24"/>
          <w:szCs w:val="21"/>
          <w:highlight w:val="none"/>
        </w:rPr>
        <w:t>在中华人民共和国境内注册的法人或其他组织或自然人，财务状况良好，依法缴纳税收和社会保障资金,遴选响应文件中提供有效的营业执照（或事业法人登记证或身份证等相关证明）复印件（加盖公章）。</w:t>
      </w:r>
      <w:bookmarkEnd w:id="18"/>
    </w:p>
    <w:p w14:paraId="0CA7AF08">
      <w:pPr>
        <w:spacing w:line="360" w:lineRule="auto"/>
        <w:ind w:firstLine="420"/>
        <w:outlineLvl w:val="1"/>
        <w:rPr>
          <w:rFonts w:eastAsia="宋体"/>
          <w:bCs/>
          <w:sz w:val="24"/>
          <w:szCs w:val="21"/>
          <w:highlight w:val="none"/>
        </w:rPr>
      </w:pPr>
      <w:bookmarkStart w:id="19" w:name="_Toc184723192"/>
      <w:r>
        <w:rPr>
          <w:rFonts w:hint="eastAsia" w:eastAsia="宋体"/>
          <w:bCs/>
          <w:sz w:val="24"/>
          <w:szCs w:val="21"/>
          <w:highlight w:val="none"/>
        </w:rPr>
        <w:t>2、</w:t>
      </w:r>
      <w:bookmarkEnd w:id="19"/>
      <w:r>
        <w:rPr>
          <w:rFonts w:hint="eastAsia" w:eastAsia="宋体"/>
          <w:bCs/>
          <w:sz w:val="24"/>
          <w:szCs w:val="21"/>
          <w:highlight w:val="none"/>
        </w:rPr>
        <w:t>履行合同所必需的设备和专业技术能力：提供承诺函（格式自拟，承诺内容包括但不限于</w:t>
      </w:r>
      <w:r>
        <w:rPr>
          <w:rFonts w:hint="eastAsia" w:eastAsia="宋体"/>
          <w:bCs/>
          <w:sz w:val="24"/>
          <w:szCs w:val="21"/>
          <w:highlight w:val="none"/>
          <w:lang w:eastAsia="zh-CN"/>
        </w:rPr>
        <w:t>：</w:t>
      </w:r>
      <w:r>
        <w:rPr>
          <w:rFonts w:hint="eastAsia" w:eastAsia="宋体"/>
          <w:bCs/>
          <w:sz w:val="24"/>
          <w:szCs w:val="21"/>
          <w:highlight w:val="none"/>
        </w:rPr>
        <w:t>“我方具有履行本项目合同所必需的设备及专业技术能力”）。</w:t>
      </w:r>
    </w:p>
    <w:p w14:paraId="424F4572">
      <w:pPr>
        <w:spacing w:line="360" w:lineRule="auto"/>
        <w:ind w:firstLine="424" w:firstLineChars="177"/>
        <w:outlineLvl w:val="1"/>
        <w:rPr>
          <w:rFonts w:eastAsia="宋体"/>
          <w:bCs/>
          <w:sz w:val="24"/>
          <w:szCs w:val="21"/>
          <w:highlight w:val="none"/>
        </w:rPr>
      </w:pPr>
      <w:bookmarkStart w:id="20" w:name="_Toc184723195"/>
      <w:r>
        <w:rPr>
          <w:rFonts w:hint="eastAsia" w:eastAsia="宋体"/>
          <w:bCs/>
          <w:sz w:val="24"/>
          <w:szCs w:val="21"/>
          <w:highlight w:val="none"/>
        </w:rPr>
        <w:t>3、具有良好的商业信誉和完善的售后服务体系，提供信誉良好承诺函。</w:t>
      </w:r>
      <w:bookmarkEnd w:id="20"/>
    </w:p>
    <w:p w14:paraId="29FD29CD">
      <w:pPr>
        <w:spacing w:line="360" w:lineRule="auto"/>
        <w:ind w:firstLine="424" w:firstLineChars="177"/>
        <w:outlineLvl w:val="1"/>
        <w:rPr>
          <w:rFonts w:eastAsia="宋体"/>
          <w:bCs/>
          <w:sz w:val="24"/>
          <w:szCs w:val="21"/>
          <w:highlight w:val="none"/>
        </w:rPr>
      </w:pPr>
      <w:bookmarkStart w:id="21" w:name="_Toc184723196"/>
      <w:r>
        <w:rPr>
          <w:rFonts w:hint="eastAsia" w:eastAsia="宋体"/>
          <w:bCs/>
          <w:sz w:val="24"/>
          <w:szCs w:val="21"/>
          <w:highlight w:val="none"/>
        </w:rPr>
        <w:t>4、不得有商业贿赂和不正当欺诈行为。如遴选响应人被证实有以上行为，将被视为不合格。</w:t>
      </w:r>
      <w:bookmarkEnd w:id="21"/>
    </w:p>
    <w:p w14:paraId="3633E9AF">
      <w:pPr>
        <w:spacing w:line="360" w:lineRule="auto"/>
        <w:ind w:firstLine="424" w:firstLineChars="177"/>
        <w:outlineLvl w:val="1"/>
        <w:rPr>
          <w:rFonts w:eastAsia="宋体"/>
          <w:bCs/>
          <w:sz w:val="24"/>
          <w:szCs w:val="21"/>
          <w:highlight w:val="none"/>
        </w:rPr>
      </w:pPr>
      <w:bookmarkStart w:id="22" w:name="_Toc184723197"/>
      <w:r>
        <w:rPr>
          <w:rFonts w:hint="eastAsia" w:eastAsia="宋体"/>
          <w:bCs/>
          <w:sz w:val="24"/>
          <w:szCs w:val="21"/>
          <w:highlight w:val="none"/>
        </w:rPr>
        <w:t>5、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bookmarkEnd w:id="22"/>
    </w:p>
    <w:p w14:paraId="75CF3F2F">
      <w:pPr>
        <w:spacing w:line="360" w:lineRule="auto"/>
        <w:ind w:firstLine="424" w:firstLineChars="177"/>
        <w:outlineLvl w:val="1"/>
        <w:rPr>
          <w:rFonts w:eastAsia="宋体"/>
          <w:bCs/>
          <w:sz w:val="24"/>
          <w:szCs w:val="21"/>
          <w:highlight w:val="none"/>
        </w:rPr>
      </w:pPr>
      <w:bookmarkStart w:id="23" w:name="_Toc184723198"/>
      <w:r>
        <w:rPr>
          <w:rFonts w:hint="eastAsia" w:eastAsia="宋体"/>
          <w:bCs/>
          <w:sz w:val="24"/>
          <w:szCs w:val="21"/>
          <w:highlight w:val="none"/>
        </w:rPr>
        <w:t>6、如遴选响应人被政府有关部门通报列入黑名单的，禁止参加本项目遴选响应。</w:t>
      </w:r>
      <w:bookmarkEnd w:id="23"/>
    </w:p>
    <w:p w14:paraId="7EF2B145">
      <w:pPr>
        <w:spacing w:line="360" w:lineRule="auto"/>
        <w:ind w:firstLine="424" w:firstLineChars="177"/>
        <w:outlineLvl w:val="1"/>
        <w:rPr>
          <w:rFonts w:eastAsia="宋体"/>
          <w:bCs/>
          <w:sz w:val="24"/>
          <w:szCs w:val="21"/>
          <w:highlight w:val="none"/>
        </w:rPr>
      </w:pPr>
      <w:bookmarkStart w:id="24" w:name="_Toc184723199"/>
      <w:r>
        <w:rPr>
          <w:rFonts w:hint="eastAsia" w:eastAsia="宋体"/>
          <w:bCs/>
          <w:sz w:val="24"/>
          <w:szCs w:val="21"/>
          <w:highlight w:val="none"/>
        </w:rPr>
        <w:t>7、单位负责人为同一人或者存在控股、管理关系的不同单位，不得同时参加同一项目的遴选响应。</w:t>
      </w:r>
      <w:bookmarkEnd w:id="24"/>
    </w:p>
    <w:p w14:paraId="6C282BD5">
      <w:pPr>
        <w:spacing w:line="360" w:lineRule="auto"/>
        <w:ind w:firstLine="424" w:firstLineChars="177"/>
        <w:outlineLvl w:val="1"/>
        <w:rPr>
          <w:rFonts w:eastAsia="宋体"/>
          <w:bCs/>
          <w:sz w:val="24"/>
          <w:szCs w:val="21"/>
          <w:highlight w:val="none"/>
        </w:rPr>
      </w:pPr>
      <w:bookmarkStart w:id="25" w:name="_Toc184723200"/>
      <w:r>
        <w:rPr>
          <w:rFonts w:hint="eastAsia" w:eastAsia="宋体"/>
          <w:bCs/>
          <w:sz w:val="24"/>
          <w:szCs w:val="21"/>
          <w:highlight w:val="none"/>
        </w:rPr>
        <w:t>8、遴选响应人经营行为必须符合国家法律、法规和有关规定。</w:t>
      </w:r>
      <w:bookmarkEnd w:id="25"/>
    </w:p>
    <w:p w14:paraId="12AFBB70">
      <w:pPr>
        <w:spacing w:line="360" w:lineRule="auto"/>
        <w:ind w:firstLine="424" w:firstLineChars="177"/>
        <w:outlineLvl w:val="1"/>
        <w:rPr>
          <w:rFonts w:eastAsia="宋体"/>
          <w:bCs/>
          <w:sz w:val="24"/>
          <w:szCs w:val="21"/>
          <w:highlight w:val="none"/>
        </w:rPr>
      </w:pPr>
      <w:bookmarkStart w:id="26" w:name="_Toc184723201"/>
      <w:r>
        <w:rPr>
          <w:rFonts w:hint="eastAsia" w:eastAsia="宋体"/>
          <w:bCs/>
          <w:sz w:val="24"/>
          <w:szCs w:val="21"/>
          <w:highlight w:val="none"/>
        </w:rPr>
        <w:t>9、本次遴选不接受联合体遴选响应。</w:t>
      </w:r>
      <w:bookmarkEnd w:id="26"/>
    </w:p>
    <w:p w14:paraId="63DE75C3">
      <w:pPr>
        <w:spacing w:line="360" w:lineRule="auto"/>
        <w:ind w:firstLine="424" w:firstLineChars="177"/>
        <w:outlineLvl w:val="1"/>
        <w:rPr>
          <w:rFonts w:eastAsia="宋体"/>
          <w:bCs/>
          <w:sz w:val="24"/>
          <w:szCs w:val="21"/>
          <w:highlight w:val="none"/>
        </w:rPr>
      </w:pPr>
      <w:bookmarkStart w:id="27" w:name="_Toc184723202"/>
      <w:r>
        <w:rPr>
          <w:rFonts w:hint="eastAsia" w:eastAsia="宋体"/>
          <w:bCs/>
          <w:sz w:val="24"/>
          <w:szCs w:val="21"/>
          <w:highlight w:val="none"/>
        </w:rPr>
        <w:t>10、本次遴选未得到采购人允许，不得转包、分包，否则取消其响应、成交资格，并赔偿采购人全部损失。</w:t>
      </w:r>
      <w:bookmarkEnd w:id="27"/>
    </w:p>
    <w:p w14:paraId="079772FF">
      <w:pPr>
        <w:spacing w:line="360" w:lineRule="auto"/>
        <w:ind w:firstLine="426" w:firstLineChars="177"/>
        <w:outlineLvl w:val="1"/>
        <w:rPr>
          <w:rFonts w:eastAsia="宋体"/>
          <w:b/>
          <w:bCs/>
          <w:sz w:val="24"/>
          <w:szCs w:val="21"/>
          <w:highlight w:val="none"/>
        </w:rPr>
      </w:pPr>
      <w:bookmarkStart w:id="28" w:name="_Toc184723203"/>
      <w:r>
        <w:rPr>
          <w:rFonts w:hint="eastAsia" w:eastAsia="宋体"/>
          <w:b/>
          <w:bCs/>
          <w:sz w:val="24"/>
          <w:szCs w:val="21"/>
          <w:highlight w:val="none"/>
        </w:rPr>
        <w:t>三．遴选响应资料</w:t>
      </w:r>
      <w:bookmarkEnd w:id="28"/>
    </w:p>
    <w:p w14:paraId="328A8CFB">
      <w:pPr>
        <w:spacing w:line="360" w:lineRule="auto"/>
        <w:ind w:firstLine="424" w:firstLineChars="177"/>
        <w:outlineLvl w:val="1"/>
        <w:rPr>
          <w:rFonts w:eastAsia="宋体"/>
          <w:bCs/>
          <w:sz w:val="24"/>
          <w:szCs w:val="21"/>
          <w:highlight w:val="none"/>
        </w:rPr>
      </w:pPr>
      <w:bookmarkStart w:id="29" w:name="_Toc184723204"/>
      <w:r>
        <w:rPr>
          <w:rFonts w:hint="eastAsia" w:eastAsia="宋体"/>
          <w:bCs/>
          <w:sz w:val="24"/>
          <w:szCs w:val="21"/>
          <w:highlight w:val="none"/>
        </w:rPr>
        <w:t>1、报名资料</w:t>
      </w:r>
    </w:p>
    <w:p w14:paraId="58CF498C">
      <w:pPr>
        <w:spacing w:line="360" w:lineRule="auto"/>
        <w:ind w:firstLine="424" w:firstLineChars="177"/>
        <w:outlineLvl w:val="1"/>
        <w:rPr>
          <w:rFonts w:eastAsia="宋体"/>
          <w:bCs/>
          <w:sz w:val="24"/>
          <w:szCs w:val="21"/>
          <w:highlight w:val="none"/>
        </w:rPr>
      </w:pPr>
      <w:r>
        <w:rPr>
          <w:rFonts w:hint="eastAsia" w:eastAsia="宋体"/>
          <w:bCs/>
          <w:sz w:val="24"/>
          <w:szCs w:val="21"/>
          <w:highlight w:val="none"/>
        </w:rPr>
        <w:t>（1）项目报名表；</w:t>
      </w:r>
      <w:bookmarkEnd w:id="29"/>
    </w:p>
    <w:p w14:paraId="53AFAF46">
      <w:pPr>
        <w:spacing w:line="360" w:lineRule="auto"/>
        <w:ind w:firstLine="424" w:firstLineChars="177"/>
        <w:outlineLvl w:val="1"/>
        <w:rPr>
          <w:rFonts w:ascii="宋体" w:hAnsi="宋体" w:eastAsia="宋体"/>
          <w:sz w:val="24"/>
          <w:szCs w:val="21"/>
          <w:highlight w:val="none"/>
        </w:rPr>
      </w:pPr>
      <w:r>
        <w:rPr>
          <w:rFonts w:hint="eastAsia" w:eastAsia="宋体"/>
          <w:bCs/>
          <w:sz w:val="24"/>
          <w:szCs w:val="21"/>
          <w:highlight w:val="none"/>
        </w:rPr>
        <w:t>（2）</w:t>
      </w:r>
      <w:r>
        <w:rPr>
          <w:rFonts w:hint="eastAsia" w:ascii="宋体" w:hAnsi="宋体" w:eastAsia="宋体"/>
          <w:sz w:val="24"/>
          <w:szCs w:val="21"/>
          <w:highlight w:val="none"/>
        </w:rPr>
        <w:t>法定代表人身份证明文件（法定代表人报名）/法定代表人授权书（委托代理人报名）；</w:t>
      </w:r>
    </w:p>
    <w:p w14:paraId="3CF608FA">
      <w:pPr>
        <w:spacing w:line="360" w:lineRule="auto"/>
        <w:ind w:firstLine="424" w:firstLineChars="177"/>
        <w:outlineLvl w:val="1"/>
        <w:rPr>
          <w:rFonts w:eastAsia="宋体"/>
          <w:bCs/>
          <w:sz w:val="24"/>
          <w:szCs w:val="21"/>
          <w:highlight w:val="none"/>
        </w:rPr>
      </w:pPr>
      <w:r>
        <w:rPr>
          <w:rFonts w:hint="eastAsia" w:ascii="宋体" w:hAnsi="宋体" w:eastAsia="宋体"/>
          <w:sz w:val="24"/>
          <w:szCs w:val="21"/>
          <w:highlight w:val="none"/>
        </w:rPr>
        <w:t>（3）营业执照复印件。</w:t>
      </w:r>
    </w:p>
    <w:p w14:paraId="1CF496B7">
      <w:pPr>
        <w:spacing w:line="360" w:lineRule="auto"/>
        <w:ind w:firstLine="424" w:firstLineChars="177"/>
        <w:outlineLvl w:val="1"/>
        <w:rPr>
          <w:rFonts w:eastAsia="宋体"/>
          <w:bCs/>
          <w:sz w:val="24"/>
          <w:szCs w:val="21"/>
          <w:highlight w:val="none"/>
        </w:rPr>
      </w:pPr>
      <w:bookmarkStart w:id="30" w:name="_Toc184723205"/>
      <w:r>
        <w:rPr>
          <w:rFonts w:hint="eastAsia" w:eastAsia="宋体"/>
          <w:bCs/>
          <w:sz w:val="24"/>
          <w:szCs w:val="21"/>
          <w:highlight w:val="none"/>
        </w:rPr>
        <w:t>2、遴选响应文件</w:t>
      </w:r>
    </w:p>
    <w:p w14:paraId="3D07E881">
      <w:pPr>
        <w:spacing w:line="360" w:lineRule="auto"/>
        <w:ind w:firstLine="424" w:firstLineChars="177"/>
        <w:outlineLvl w:val="1"/>
        <w:rPr>
          <w:rFonts w:eastAsia="宋体"/>
          <w:bCs/>
          <w:sz w:val="24"/>
          <w:szCs w:val="21"/>
          <w:highlight w:val="none"/>
        </w:rPr>
      </w:pPr>
      <w:r>
        <w:rPr>
          <w:rFonts w:hint="eastAsia" w:eastAsia="宋体"/>
          <w:bCs/>
          <w:sz w:val="24"/>
          <w:szCs w:val="21"/>
          <w:highlight w:val="none"/>
        </w:rPr>
        <w:t>遴选响应文件（一正四副）, 正本单独密封，所有副本可一起密封，所有密封封皮上注明产品名称及遴选响应人名称，并加盖骑缝章。</w:t>
      </w:r>
      <w:bookmarkEnd w:id="30"/>
    </w:p>
    <w:p w14:paraId="0F11018C">
      <w:pPr>
        <w:spacing w:line="360" w:lineRule="auto"/>
        <w:ind w:firstLine="424" w:firstLineChars="177"/>
        <w:outlineLvl w:val="1"/>
        <w:rPr>
          <w:rFonts w:eastAsia="宋体"/>
          <w:bCs/>
          <w:sz w:val="24"/>
          <w:szCs w:val="21"/>
          <w:highlight w:val="none"/>
        </w:rPr>
      </w:pPr>
      <w:bookmarkStart w:id="31" w:name="_Toc184723206"/>
      <w:r>
        <w:rPr>
          <w:rFonts w:hint="eastAsia" w:eastAsia="宋体"/>
          <w:bCs/>
          <w:sz w:val="24"/>
          <w:szCs w:val="21"/>
          <w:highlight w:val="none"/>
        </w:rPr>
        <w:t>以上资料准备完整的供应商方可参加，遴选响应文件和报名表获取方式：本页面底部下载。</w:t>
      </w:r>
      <w:bookmarkEnd w:id="31"/>
    </w:p>
    <w:p w14:paraId="05EBC8E2">
      <w:pPr>
        <w:spacing w:line="360" w:lineRule="auto"/>
        <w:ind w:firstLine="426" w:firstLineChars="177"/>
        <w:outlineLvl w:val="1"/>
        <w:rPr>
          <w:rFonts w:eastAsia="宋体"/>
          <w:b/>
          <w:bCs/>
          <w:sz w:val="24"/>
          <w:szCs w:val="21"/>
          <w:highlight w:val="none"/>
        </w:rPr>
      </w:pPr>
      <w:bookmarkStart w:id="32" w:name="_Toc184723207"/>
      <w:r>
        <w:rPr>
          <w:rFonts w:hint="eastAsia" w:eastAsia="宋体"/>
          <w:b/>
          <w:bCs/>
          <w:sz w:val="24"/>
          <w:szCs w:val="21"/>
          <w:highlight w:val="none"/>
        </w:rPr>
        <w:t>四、踏勘、资料递交时间、地点、报价方式及评审办法：</w:t>
      </w:r>
      <w:bookmarkEnd w:id="32"/>
    </w:p>
    <w:p w14:paraId="56C1567D">
      <w:pPr>
        <w:spacing w:line="360" w:lineRule="auto"/>
        <w:ind w:firstLine="424" w:firstLineChars="177"/>
        <w:outlineLvl w:val="1"/>
        <w:rPr>
          <w:rFonts w:eastAsia="宋体"/>
          <w:bCs/>
          <w:sz w:val="24"/>
          <w:szCs w:val="21"/>
          <w:highlight w:val="none"/>
        </w:rPr>
      </w:pPr>
      <w:bookmarkStart w:id="33" w:name="_Toc184723208"/>
      <w:r>
        <w:rPr>
          <w:rFonts w:hint="eastAsia" w:eastAsia="宋体"/>
          <w:bCs/>
          <w:sz w:val="24"/>
          <w:szCs w:val="21"/>
          <w:highlight w:val="none"/>
        </w:rPr>
        <w:t>1、报名时间：202</w:t>
      </w:r>
      <w:r>
        <w:rPr>
          <w:rFonts w:hint="eastAsia" w:eastAsia="宋体"/>
          <w:bCs/>
          <w:sz w:val="24"/>
          <w:szCs w:val="21"/>
          <w:highlight w:val="none"/>
          <w:lang w:val="en-US" w:eastAsia="zh-CN"/>
        </w:rPr>
        <w:t>5</w:t>
      </w:r>
      <w:r>
        <w:rPr>
          <w:rFonts w:hint="eastAsia" w:eastAsia="宋体"/>
          <w:bCs/>
          <w:sz w:val="24"/>
          <w:szCs w:val="21"/>
          <w:highlight w:val="none"/>
        </w:rPr>
        <w:t>年</w:t>
      </w:r>
      <w:r>
        <w:rPr>
          <w:rFonts w:hint="eastAsia" w:eastAsia="宋体"/>
          <w:bCs/>
          <w:sz w:val="24"/>
          <w:szCs w:val="21"/>
          <w:highlight w:val="none"/>
          <w:lang w:val="en-US" w:eastAsia="zh-CN"/>
        </w:rPr>
        <w:t>4</w:t>
      </w:r>
      <w:r>
        <w:rPr>
          <w:rFonts w:hint="eastAsia" w:eastAsia="宋体"/>
          <w:bCs/>
          <w:sz w:val="24"/>
          <w:szCs w:val="21"/>
          <w:highlight w:val="none"/>
        </w:rPr>
        <w:t>月</w:t>
      </w:r>
      <w:r>
        <w:rPr>
          <w:rFonts w:hint="eastAsia" w:eastAsia="宋体"/>
          <w:bCs/>
          <w:sz w:val="24"/>
          <w:szCs w:val="21"/>
          <w:highlight w:val="none"/>
          <w:lang w:val="en-US" w:eastAsia="zh-CN"/>
        </w:rPr>
        <w:t>29</w:t>
      </w:r>
      <w:r>
        <w:rPr>
          <w:rFonts w:hint="eastAsia" w:eastAsia="宋体"/>
          <w:bCs/>
          <w:sz w:val="24"/>
          <w:szCs w:val="21"/>
          <w:highlight w:val="none"/>
        </w:rPr>
        <w:t>日-20</w:t>
      </w:r>
      <w:r>
        <w:rPr>
          <w:rFonts w:hint="eastAsia" w:eastAsia="宋体"/>
          <w:bCs/>
          <w:sz w:val="24"/>
          <w:szCs w:val="21"/>
          <w:highlight w:val="none"/>
          <w:lang w:val="en-US" w:eastAsia="zh-CN"/>
        </w:rPr>
        <w:t>25</w:t>
      </w:r>
      <w:r>
        <w:rPr>
          <w:rFonts w:hint="eastAsia" w:eastAsia="宋体"/>
          <w:bCs/>
          <w:sz w:val="24"/>
          <w:szCs w:val="21"/>
          <w:highlight w:val="none"/>
        </w:rPr>
        <w:t>年</w:t>
      </w:r>
      <w:r>
        <w:rPr>
          <w:rFonts w:hint="eastAsia" w:eastAsia="宋体"/>
          <w:bCs/>
          <w:sz w:val="24"/>
          <w:szCs w:val="21"/>
          <w:highlight w:val="none"/>
          <w:lang w:val="en-US" w:eastAsia="zh-CN"/>
        </w:rPr>
        <w:t>5</w:t>
      </w:r>
      <w:r>
        <w:rPr>
          <w:rFonts w:hint="eastAsia" w:eastAsia="宋体"/>
          <w:bCs/>
          <w:sz w:val="24"/>
          <w:szCs w:val="21"/>
          <w:highlight w:val="none"/>
        </w:rPr>
        <w:t>月</w:t>
      </w:r>
      <w:r>
        <w:rPr>
          <w:rFonts w:hint="eastAsia" w:eastAsia="宋体"/>
          <w:bCs/>
          <w:sz w:val="24"/>
          <w:szCs w:val="21"/>
          <w:highlight w:val="none"/>
          <w:lang w:val="en-US" w:eastAsia="zh-CN"/>
        </w:rPr>
        <w:t>6</w:t>
      </w:r>
      <w:r>
        <w:rPr>
          <w:rFonts w:hint="eastAsia" w:eastAsia="宋体"/>
          <w:bCs/>
          <w:sz w:val="24"/>
          <w:szCs w:val="21"/>
          <w:highlight w:val="none"/>
        </w:rPr>
        <w:t>日（工作日上午8：30——11:30，下午2:30——5:30，</w:t>
      </w:r>
      <w:r>
        <w:rPr>
          <w:rFonts w:hint="eastAsia" w:ascii="宋体" w:hAnsi="宋体" w:eastAsia="宋体"/>
          <w:sz w:val="24"/>
          <w:szCs w:val="21"/>
          <w:highlight w:val="none"/>
        </w:rPr>
        <w:t>北京时间</w:t>
      </w:r>
      <w:r>
        <w:rPr>
          <w:rFonts w:hint="eastAsia" w:eastAsia="宋体"/>
          <w:bCs/>
          <w:sz w:val="24"/>
          <w:szCs w:val="21"/>
          <w:highlight w:val="none"/>
        </w:rPr>
        <w:t>）</w:t>
      </w:r>
      <w:bookmarkEnd w:id="33"/>
      <w:r>
        <w:rPr>
          <w:rFonts w:hint="eastAsia" w:eastAsia="宋体"/>
          <w:bCs/>
          <w:sz w:val="24"/>
          <w:szCs w:val="21"/>
          <w:highlight w:val="none"/>
        </w:rPr>
        <w:t>。</w:t>
      </w:r>
    </w:p>
    <w:p w14:paraId="45D7857C">
      <w:pPr>
        <w:spacing w:line="360" w:lineRule="auto"/>
        <w:ind w:firstLine="424" w:firstLineChars="177"/>
        <w:outlineLvl w:val="1"/>
        <w:rPr>
          <w:rFonts w:eastAsia="宋体"/>
          <w:bCs/>
          <w:sz w:val="24"/>
          <w:szCs w:val="21"/>
          <w:highlight w:val="none"/>
        </w:rPr>
      </w:pPr>
      <w:r>
        <w:rPr>
          <w:rFonts w:hint="eastAsia" w:eastAsia="宋体"/>
          <w:bCs/>
          <w:sz w:val="24"/>
          <w:szCs w:val="21"/>
          <w:highlight w:val="none"/>
          <w:lang w:val="en-US" w:eastAsia="zh-CN"/>
        </w:rPr>
        <w:t>2</w:t>
      </w:r>
      <w:r>
        <w:rPr>
          <w:rFonts w:hint="eastAsia" w:eastAsia="宋体"/>
          <w:bCs/>
          <w:sz w:val="24"/>
          <w:szCs w:val="21"/>
          <w:highlight w:val="none"/>
        </w:rPr>
        <w:t>、遴选文件递交时间：2025年</w:t>
      </w:r>
      <w:r>
        <w:rPr>
          <w:rFonts w:hint="eastAsia" w:eastAsia="宋体"/>
          <w:bCs/>
          <w:sz w:val="24"/>
          <w:szCs w:val="21"/>
          <w:highlight w:val="none"/>
          <w:lang w:val="en-US" w:eastAsia="zh-CN"/>
        </w:rPr>
        <w:t>5</w:t>
      </w:r>
      <w:r>
        <w:rPr>
          <w:rFonts w:hint="eastAsia" w:eastAsia="宋体"/>
          <w:bCs/>
          <w:sz w:val="24"/>
          <w:szCs w:val="21"/>
          <w:highlight w:val="none"/>
        </w:rPr>
        <w:t>月</w:t>
      </w:r>
      <w:r>
        <w:rPr>
          <w:rFonts w:hint="eastAsia" w:eastAsia="宋体"/>
          <w:bCs/>
          <w:sz w:val="24"/>
          <w:szCs w:val="21"/>
          <w:highlight w:val="none"/>
          <w:lang w:val="en-US" w:eastAsia="zh-CN"/>
        </w:rPr>
        <w:t>8</w:t>
      </w:r>
      <w:r>
        <w:rPr>
          <w:rFonts w:hint="eastAsia" w:eastAsia="宋体"/>
          <w:bCs/>
          <w:sz w:val="24"/>
          <w:szCs w:val="21"/>
          <w:highlight w:val="none"/>
        </w:rPr>
        <w:t>日14：30——15:30</w:t>
      </w:r>
      <w:r>
        <w:rPr>
          <w:rFonts w:hint="eastAsia" w:ascii="宋体" w:hAnsi="宋体" w:eastAsia="宋体"/>
          <w:sz w:val="24"/>
          <w:szCs w:val="21"/>
          <w:highlight w:val="none"/>
        </w:rPr>
        <w:t>（北京时间）</w:t>
      </w:r>
      <w:r>
        <w:rPr>
          <w:rFonts w:hint="eastAsia" w:eastAsia="宋体"/>
          <w:bCs/>
          <w:sz w:val="24"/>
          <w:szCs w:val="21"/>
          <w:highlight w:val="none"/>
        </w:rPr>
        <w:t>。</w:t>
      </w:r>
    </w:p>
    <w:p w14:paraId="460D848A">
      <w:pPr>
        <w:spacing w:line="360" w:lineRule="auto"/>
        <w:ind w:firstLine="424" w:firstLineChars="177"/>
        <w:outlineLvl w:val="1"/>
        <w:rPr>
          <w:rFonts w:eastAsia="宋体"/>
          <w:bCs/>
          <w:sz w:val="24"/>
          <w:szCs w:val="21"/>
          <w:highlight w:val="none"/>
        </w:rPr>
      </w:pPr>
      <w:bookmarkStart w:id="34" w:name="_Toc184723209"/>
      <w:r>
        <w:rPr>
          <w:rFonts w:hint="eastAsia" w:eastAsia="宋体"/>
          <w:bCs/>
          <w:sz w:val="24"/>
          <w:szCs w:val="21"/>
          <w:highlight w:val="none"/>
          <w:lang w:val="en-US" w:eastAsia="zh-CN"/>
        </w:rPr>
        <w:t>3</w:t>
      </w:r>
      <w:r>
        <w:rPr>
          <w:rFonts w:hint="eastAsia" w:eastAsia="宋体"/>
          <w:bCs/>
          <w:sz w:val="24"/>
          <w:szCs w:val="21"/>
          <w:highlight w:val="none"/>
        </w:rPr>
        <w:t>、地点：广东省开平市三埠街道新昌西桥二马路6号，开平市中医院新昌总院2号楼8楼817室</w:t>
      </w:r>
      <w:bookmarkEnd w:id="34"/>
      <w:r>
        <w:rPr>
          <w:rFonts w:hint="eastAsia" w:eastAsia="宋体"/>
          <w:bCs/>
          <w:sz w:val="24"/>
          <w:szCs w:val="21"/>
          <w:highlight w:val="none"/>
        </w:rPr>
        <w:t>。</w:t>
      </w:r>
    </w:p>
    <w:p w14:paraId="03472C91">
      <w:pPr>
        <w:spacing w:line="360" w:lineRule="auto"/>
        <w:ind w:firstLine="424" w:firstLineChars="177"/>
        <w:outlineLvl w:val="1"/>
        <w:rPr>
          <w:rFonts w:eastAsia="宋体"/>
          <w:bCs/>
          <w:sz w:val="24"/>
          <w:szCs w:val="21"/>
          <w:highlight w:val="none"/>
        </w:rPr>
      </w:pPr>
      <w:bookmarkStart w:id="35" w:name="_Toc184723210"/>
      <w:r>
        <w:rPr>
          <w:rFonts w:hint="eastAsia" w:eastAsia="宋体"/>
          <w:bCs/>
          <w:sz w:val="24"/>
          <w:szCs w:val="21"/>
          <w:highlight w:val="none"/>
          <w:lang w:val="en-US" w:eastAsia="zh-CN"/>
        </w:rPr>
        <w:t>4</w:t>
      </w:r>
      <w:r>
        <w:rPr>
          <w:rFonts w:hint="eastAsia" w:eastAsia="宋体"/>
          <w:bCs/>
          <w:sz w:val="24"/>
          <w:szCs w:val="21"/>
          <w:highlight w:val="none"/>
        </w:rPr>
        <w:t>、报价方式：</w:t>
      </w:r>
      <w:bookmarkEnd w:id="35"/>
    </w:p>
    <w:p w14:paraId="502A979B">
      <w:pPr>
        <w:spacing w:line="360" w:lineRule="auto"/>
        <w:ind w:firstLine="424" w:firstLineChars="177"/>
        <w:outlineLvl w:val="1"/>
        <w:rPr>
          <w:rFonts w:eastAsia="宋体"/>
          <w:bCs/>
          <w:sz w:val="24"/>
          <w:szCs w:val="21"/>
          <w:highlight w:val="none"/>
        </w:rPr>
      </w:pPr>
      <w:bookmarkStart w:id="36" w:name="_Toc184723211"/>
      <w:r>
        <w:rPr>
          <w:rFonts w:hint="eastAsia" w:eastAsia="宋体"/>
          <w:bCs/>
          <w:sz w:val="24"/>
          <w:szCs w:val="21"/>
          <w:highlight w:val="none"/>
        </w:rPr>
        <w:t>遴选响应人应根据遴选文件的要求，结合本单位的实际情况考虑后进行一次性报价，采购人不再支付因遴选响应人漏项或是填写错误而增加的任何费用。</w:t>
      </w:r>
      <w:bookmarkEnd w:id="36"/>
    </w:p>
    <w:p w14:paraId="46A1DC6D">
      <w:pPr>
        <w:spacing w:line="360" w:lineRule="auto"/>
        <w:ind w:firstLine="424" w:firstLineChars="177"/>
        <w:outlineLvl w:val="1"/>
        <w:rPr>
          <w:rFonts w:eastAsia="宋体"/>
          <w:bCs/>
          <w:sz w:val="24"/>
          <w:szCs w:val="21"/>
          <w:highlight w:val="none"/>
        </w:rPr>
      </w:pPr>
      <w:bookmarkStart w:id="37" w:name="_Toc184723212"/>
      <w:r>
        <w:rPr>
          <w:rFonts w:hint="eastAsia" w:eastAsia="宋体"/>
          <w:bCs/>
          <w:sz w:val="24"/>
          <w:szCs w:val="21"/>
          <w:highlight w:val="none"/>
        </w:rPr>
        <w:t>6、评审办法：综合评分法</w:t>
      </w:r>
      <w:bookmarkEnd w:id="37"/>
    </w:p>
    <w:p w14:paraId="5150F33B">
      <w:pPr>
        <w:spacing w:line="360" w:lineRule="auto"/>
        <w:ind w:firstLine="420"/>
        <w:outlineLvl w:val="1"/>
        <w:rPr>
          <w:rFonts w:eastAsia="宋体"/>
          <w:bCs/>
          <w:sz w:val="24"/>
          <w:szCs w:val="21"/>
          <w:highlight w:val="none"/>
        </w:rPr>
      </w:pPr>
      <w:bookmarkStart w:id="38" w:name="_Toc184723213"/>
      <w:r>
        <w:rPr>
          <w:rFonts w:hint="eastAsia" w:eastAsia="宋体"/>
          <w:bCs/>
          <w:sz w:val="24"/>
          <w:szCs w:val="21"/>
          <w:highlight w:val="none"/>
        </w:rPr>
        <w:t>7、遴选结果：开平市卫生健康局官网公示</w:t>
      </w:r>
      <w:bookmarkEnd w:id="38"/>
    </w:p>
    <w:p w14:paraId="497CA1E5">
      <w:pPr>
        <w:spacing w:line="360" w:lineRule="auto"/>
        <w:ind w:firstLine="420"/>
        <w:outlineLvl w:val="1"/>
        <w:rPr>
          <w:rFonts w:eastAsia="宋体"/>
          <w:b/>
          <w:bCs/>
          <w:sz w:val="24"/>
          <w:szCs w:val="21"/>
          <w:highlight w:val="none"/>
        </w:rPr>
      </w:pPr>
      <w:bookmarkStart w:id="39" w:name="_Toc184723214"/>
      <w:r>
        <w:rPr>
          <w:rFonts w:hint="eastAsia" w:eastAsia="宋体"/>
          <w:b/>
          <w:bCs/>
          <w:sz w:val="24"/>
          <w:szCs w:val="21"/>
          <w:highlight w:val="none"/>
        </w:rPr>
        <w:t>五、本次遴选相关事宜联系：</w:t>
      </w:r>
      <w:bookmarkEnd w:id="39"/>
    </w:p>
    <w:p w14:paraId="6267771D">
      <w:pPr>
        <w:spacing w:line="360" w:lineRule="auto"/>
        <w:ind w:firstLine="420"/>
        <w:outlineLvl w:val="1"/>
        <w:rPr>
          <w:rFonts w:eastAsia="宋体"/>
          <w:bCs/>
          <w:sz w:val="24"/>
          <w:szCs w:val="21"/>
          <w:highlight w:val="none"/>
        </w:rPr>
      </w:pPr>
      <w:bookmarkStart w:id="40" w:name="_Toc184723215"/>
      <w:r>
        <w:rPr>
          <w:rFonts w:hint="eastAsia" w:eastAsia="宋体"/>
          <w:bCs/>
          <w:sz w:val="24"/>
          <w:szCs w:val="21"/>
          <w:highlight w:val="none"/>
        </w:rPr>
        <w:t>项目联系人：陈先生、雷先生，电话：0750-2389697</w:t>
      </w:r>
      <w:bookmarkEnd w:id="40"/>
    </w:p>
    <w:p w14:paraId="5C96A992">
      <w:pPr>
        <w:spacing w:line="360" w:lineRule="auto"/>
        <w:ind w:firstLine="420"/>
        <w:outlineLvl w:val="1"/>
        <w:rPr>
          <w:rFonts w:eastAsia="宋体"/>
          <w:b/>
          <w:bCs/>
          <w:sz w:val="24"/>
          <w:szCs w:val="21"/>
          <w:highlight w:val="none"/>
        </w:rPr>
      </w:pPr>
      <w:bookmarkStart w:id="41" w:name="_Toc184723216"/>
      <w:r>
        <w:rPr>
          <w:rFonts w:hint="eastAsia" w:eastAsia="宋体"/>
          <w:b/>
          <w:bCs/>
          <w:sz w:val="24"/>
          <w:szCs w:val="21"/>
          <w:highlight w:val="none"/>
        </w:rPr>
        <w:t>六、报名须知</w:t>
      </w:r>
      <w:bookmarkEnd w:id="41"/>
    </w:p>
    <w:p w14:paraId="1E9F994E">
      <w:pPr>
        <w:spacing w:line="360" w:lineRule="auto"/>
        <w:ind w:firstLine="420"/>
        <w:outlineLvl w:val="1"/>
        <w:rPr>
          <w:rFonts w:eastAsia="宋体"/>
          <w:bCs/>
          <w:sz w:val="24"/>
          <w:szCs w:val="21"/>
          <w:highlight w:val="none"/>
        </w:rPr>
      </w:pPr>
      <w:bookmarkStart w:id="42" w:name="_Toc184723217"/>
      <w:r>
        <w:rPr>
          <w:rFonts w:hint="eastAsia" w:eastAsia="宋体"/>
          <w:bCs/>
          <w:sz w:val="24"/>
          <w:szCs w:val="21"/>
          <w:highlight w:val="none"/>
        </w:rPr>
        <w:t>1、本次遴选项目仅接受现场资料递交，不接受邮寄等其他方式。</w:t>
      </w:r>
      <w:bookmarkEnd w:id="42"/>
    </w:p>
    <w:p w14:paraId="64F361DF">
      <w:pPr>
        <w:spacing w:line="360" w:lineRule="auto"/>
        <w:ind w:firstLine="420"/>
        <w:outlineLvl w:val="1"/>
        <w:rPr>
          <w:rFonts w:eastAsia="宋体"/>
          <w:bCs/>
          <w:sz w:val="24"/>
          <w:szCs w:val="21"/>
          <w:highlight w:val="none"/>
        </w:rPr>
      </w:pPr>
      <w:bookmarkStart w:id="43" w:name="_Toc184723218"/>
      <w:r>
        <w:rPr>
          <w:rFonts w:hint="eastAsia" w:eastAsia="宋体"/>
          <w:bCs/>
          <w:sz w:val="24"/>
          <w:szCs w:val="21"/>
          <w:highlight w:val="none"/>
        </w:rPr>
        <w:t>2、违反《遴选响应承诺函》内容的单位及授权人视为失信人，失信人将列为黑名单，取消其响应开平市中医院所有项目的资格。</w:t>
      </w:r>
      <w:bookmarkEnd w:id="43"/>
    </w:p>
    <w:p w14:paraId="6DFB57FB">
      <w:pPr>
        <w:spacing w:line="360" w:lineRule="auto"/>
        <w:ind w:firstLine="420"/>
        <w:outlineLvl w:val="1"/>
        <w:rPr>
          <w:rFonts w:eastAsia="宋体"/>
          <w:bCs/>
          <w:sz w:val="24"/>
          <w:szCs w:val="21"/>
          <w:highlight w:val="none"/>
        </w:rPr>
      </w:pPr>
      <w:bookmarkStart w:id="44" w:name="_Toc184723219"/>
      <w:r>
        <w:rPr>
          <w:rFonts w:hint="eastAsia" w:eastAsia="宋体"/>
          <w:bCs/>
          <w:sz w:val="24"/>
          <w:szCs w:val="21"/>
          <w:highlight w:val="none"/>
        </w:rPr>
        <w:t>3、其他视为失信人的情况：</w:t>
      </w:r>
      <w:bookmarkEnd w:id="44"/>
    </w:p>
    <w:p w14:paraId="514C4D04">
      <w:pPr>
        <w:spacing w:line="360" w:lineRule="auto"/>
        <w:ind w:firstLine="420"/>
        <w:outlineLvl w:val="1"/>
        <w:rPr>
          <w:rFonts w:eastAsia="宋体"/>
          <w:bCs/>
          <w:sz w:val="24"/>
          <w:szCs w:val="21"/>
          <w:highlight w:val="none"/>
        </w:rPr>
      </w:pPr>
      <w:bookmarkStart w:id="45" w:name="_Toc184723220"/>
      <w:r>
        <w:rPr>
          <w:rFonts w:hint="eastAsia" w:eastAsia="宋体"/>
          <w:bCs/>
          <w:sz w:val="24"/>
          <w:szCs w:val="21"/>
          <w:highlight w:val="none"/>
        </w:rPr>
        <w:t>（1）无故不参与响应或未按时响应的三次及以上；</w:t>
      </w:r>
      <w:bookmarkEnd w:id="45"/>
    </w:p>
    <w:p w14:paraId="4A9ACB46">
      <w:pPr>
        <w:spacing w:line="360" w:lineRule="auto"/>
        <w:ind w:firstLine="420"/>
        <w:outlineLvl w:val="1"/>
        <w:rPr>
          <w:rFonts w:eastAsia="宋体"/>
          <w:bCs/>
          <w:sz w:val="24"/>
          <w:szCs w:val="21"/>
          <w:highlight w:val="none"/>
        </w:rPr>
      </w:pPr>
      <w:bookmarkStart w:id="46" w:name="_Toc184723221"/>
      <w:r>
        <w:rPr>
          <w:rFonts w:hint="eastAsia" w:eastAsia="宋体"/>
          <w:bCs/>
          <w:sz w:val="24"/>
          <w:szCs w:val="21"/>
          <w:highlight w:val="none"/>
        </w:rPr>
        <w:t>（2）撤销遴选响应未在遴选响应截止前24小时内以书面形式通知采购人三次及以上的；</w:t>
      </w:r>
      <w:bookmarkEnd w:id="46"/>
    </w:p>
    <w:p w14:paraId="58D6888D">
      <w:pPr>
        <w:spacing w:line="360" w:lineRule="auto"/>
        <w:ind w:firstLine="420"/>
        <w:outlineLvl w:val="1"/>
        <w:rPr>
          <w:rFonts w:eastAsia="宋体"/>
          <w:bCs/>
          <w:sz w:val="24"/>
          <w:szCs w:val="21"/>
          <w:highlight w:val="none"/>
        </w:rPr>
      </w:pPr>
      <w:bookmarkStart w:id="47" w:name="_Toc184723222"/>
      <w:r>
        <w:rPr>
          <w:rFonts w:hint="eastAsia" w:eastAsia="宋体"/>
          <w:bCs/>
          <w:sz w:val="24"/>
          <w:szCs w:val="21"/>
          <w:highlight w:val="none"/>
        </w:rPr>
        <w:t>（3）遴选响应文件出现严重错误给遴选工作带来影响三次及以上的。</w:t>
      </w:r>
      <w:bookmarkEnd w:id="47"/>
    </w:p>
    <w:p w14:paraId="25D05D38">
      <w:pPr>
        <w:spacing w:line="360" w:lineRule="auto"/>
        <w:ind w:firstLine="420"/>
        <w:outlineLvl w:val="1"/>
        <w:rPr>
          <w:rFonts w:eastAsia="宋体"/>
          <w:bCs/>
          <w:sz w:val="24"/>
          <w:szCs w:val="21"/>
          <w:highlight w:val="none"/>
        </w:rPr>
      </w:pPr>
      <w:bookmarkStart w:id="48" w:name="_Toc184723223"/>
      <w:r>
        <w:rPr>
          <w:rFonts w:hint="eastAsia" w:eastAsia="宋体"/>
          <w:bCs/>
          <w:sz w:val="24"/>
          <w:szCs w:val="21"/>
          <w:highlight w:val="none"/>
        </w:rPr>
        <w:t>4、报名不足3家供应商时，将依据《开平市中医院采购管理制度》处理。</w:t>
      </w:r>
      <w:bookmarkEnd w:id="48"/>
    </w:p>
    <w:p w14:paraId="7D99C633">
      <w:pPr>
        <w:spacing w:line="360" w:lineRule="auto"/>
        <w:ind w:firstLine="420"/>
        <w:outlineLvl w:val="1"/>
        <w:rPr>
          <w:rFonts w:eastAsia="宋体"/>
          <w:b/>
          <w:bCs/>
          <w:sz w:val="24"/>
          <w:szCs w:val="21"/>
          <w:highlight w:val="none"/>
        </w:rPr>
      </w:pPr>
      <w:bookmarkStart w:id="49" w:name="_Toc184723224"/>
      <w:r>
        <w:rPr>
          <w:rFonts w:hint="eastAsia" w:eastAsia="宋体"/>
          <w:b/>
          <w:bCs/>
          <w:sz w:val="24"/>
          <w:szCs w:val="21"/>
          <w:highlight w:val="none"/>
        </w:rPr>
        <w:t>七、注意事项</w:t>
      </w:r>
      <w:bookmarkEnd w:id="49"/>
    </w:p>
    <w:p w14:paraId="0DFF283E">
      <w:pPr>
        <w:spacing w:line="360" w:lineRule="auto"/>
        <w:ind w:firstLine="420"/>
        <w:outlineLvl w:val="1"/>
        <w:rPr>
          <w:rFonts w:eastAsia="宋体"/>
          <w:bCs/>
          <w:sz w:val="24"/>
          <w:szCs w:val="21"/>
          <w:highlight w:val="none"/>
        </w:rPr>
      </w:pPr>
      <w:bookmarkStart w:id="50" w:name="_Toc184723225"/>
      <w:r>
        <w:rPr>
          <w:rFonts w:hint="eastAsia" w:eastAsia="宋体"/>
          <w:bCs/>
          <w:sz w:val="24"/>
          <w:szCs w:val="21"/>
          <w:highlight w:val="none"/>
        </w:rPr>
        <w:t>1、超过项目预算按响应无效处理。</w:t>
      </w:r>
      <w:bookmarkEnd w:id="50"/>
    </w:p>
    <w:p w14:paraId="575F3DF9">
      <w:pPr>
        <w:spacing w:line="360" w:lineRule="auto"/>
        <w:ind w:firstLine="420"/>
        <w:outlineLvl w:val="1"/>
        <w:rPr>
          <w:rFonts w:eastAsia="宋体"/>
          <w:b/>
          <w:bCs/>
          <w:sz w:val="24"/>
          <w:szCs w:val="21"/>
          <w:highlight w:val="none"/>
        </w:rPr>
      </w:pPr>
      <w:bookmarkStart w:id="51" w:name="_Toc184723226"/>
      <w:r>
        <w:rPr>
          <w:rFonts w:hint="eastAsia" w:eastAsia="宋体"/>
          <w:b/>
          <w:bCs/>
          <w:sz w:val="24"/>
          <w:szCs w:val="21"/>
          <w:highlight w:val="none"/>
        </w:rPr>
        <w:t>八、遴选响应文件的制作、装订、密封、标记</w:t>
      </w:r>
      <w:bookmarkEnd w:id="51"/>
    </w:p>
    <w:p w14:paraId="551070E8">
      <w:pPr>
        <w:spacing w:line="360" w:lineRule="auto"/>
        <w:ind w:firstLine="420"/>
        <w:outlineLvl w:val="1"/>
        <w:rPr>
          <w:rFonts w:eastAsia="宋体"/>
          <w:bCs/>
          <w:sz w:val="24"/>
          <w:szCs w:val="21"/>
          <w:highlight w:val="none"/>
        </w:rPr>
      </w:pPr>
      <w:bookmarkStart w:id="52" w:name="_Toc184723227"/>
      <w:r>
        <w:rPr>
          <w:rFonts w:hint="eastAsia" w:eastAsia="宋体"/>
          <w:bCs/>
          <w:sz w:val="24"/>
          <w:szCs w:val="21"/>
          <w:highlight w:val="none"/>
        </w:rPr>
        <w:t>1、</w:t>
      </w:r>
      <w:bookmarkEnd w:id="52"/>
      <w:bookmarkStart w:id="53" w:name="_Toc184723228"/>
      <w:r>
        <w:rPr>
          <w:rFonts w:hint="eastAsia" w:eastAsia="宋体"/>
          <w:bCs/>
          <w:sz w:val="24"/>
          <w:szCs w:val="21"/>
          <w:highlight w:val="none"/>
        </w:rPr>
        <w:t>遴选响应文件份数：一正四副，并在遴选响应文件右上角处明显标注“正本或副本”字样。</w:t>
      </w:r>
      <w:bookmarkEnd w:id="53"/>
    </w:p>
    <w:p w14:paraId="3D109C44">
      <w:pPr>
        <w:spacing w:line="360" w:lineRule="auto"/>
        <w:ind w:firstLine="420"/>
        <w:outlineLvl w:val="1"/>
        <w:rPr>
          <w:rFonts w:eastAsia="宋体"/>
          <w:bCs/>
          <w:sz w:val="24"/>
          <w:szCs w:val="21"/>
          <w:highlight w:val="none"/>
        </w:rPr>
      </w:pPr>
      <w:bookmarkStart w:id="54" w:name="_Toc184723229"/>
      <w:r>
        <w:rPr>
          <w:rFonts w:hint="eastAsia" w:eastAsia="宋体"/>
          <w:bCs/>
          <w:sz w:val="24"/>
          <w:szCs w:val="21"/>
          <w:highlight w:val="none"/>
        </w:rPr>
        <w:t>2、将遴选响应文件中所需的文件按照顺序进行装订，副本可为正本复印件。</w:t>
      </w:r>
      <w:bookmarkEnd w:id="54"/>
    </w:p>
    <w:p w14:paraId="6185F9F4">
      <w:pPr>
        <w:spacing w:line="360" w:lineRule="auto"/>
        <w:ind w:firstLine="420"/>
        <w:outlineLvl w:val="1"/>
        <w:rPr>
          <w:rFonts w:eastAsia="宋体"/>
          <w:bCs/>
          <w:sz w:val="24"/>
          <w:szCs w:val="21"/>
          <w:highlight w:val="none"/>
        </w:rPr>
      </w:pPr>
      <w:bookmarkStart w:id="55" w:name="_Toc184723230"/>
      <w:r>
        <w:rPr>
          <w:rFonts w:hint="eastAsia" w:eastAsia="宋体"/>
          <w:bCs/>
          <w:sz w:val="24"/>
          <w:szCs w:val="21"/>
          <w:highlight w:val="none"/>
        </w:rPr>
        <w:t>3、正本单独密封，所有副本可一起密封，所有密封封皮上注明产品名称及遴选响应人名称，并加盖骑缝章。</w:t>
      </w:r>
      <w:bookmarkEnd w:id="55"/>
    </w:p>
    <w:p w14:paraId="6F60268A">
      <w:pPr>
        <w:spacing w:line="360" w:lineRule="auto"/>
        <w:ind w:firstLine="420"/>
        <w:outlineLvl w:val="1"/>
        <w:rPr>
          <w:rFonts w:eastAsia="宋体"/>
          <w:bCs/>
          <w:sz w:val="24"/>
          <w:szCs w:val="21"/>
          <w:highlight w:val="none"/>
        </w:rPr>
      </w:pPr>
      <w:bookmarkStart w:id="56" w:name="_Toc184723231"/>
      <w:r>
        <w:rPr>
          <w:rFonts w:hint="eastAsia" w:eastAsia="宋体"/>
          <w:bCs/>
          <w:sz w:val="24"/>
          <w:szCs w:val="21"/>
          <w:highlight w:val="none"/>
        </w:rPr>
        <w:t>4、以上所需文件正本均需逐页加盖遴选响应人公章（红章），副本可为正本复印件，封面须盖公章。</w:t>
      </w:r>
      <w:bookmarkEnd w:id="56"/>
    </w:p>
    <w:p w14:paraId="082E23C6">
      <w:pPr>
        <w:spacing w:line="360" w:lineRule="auto"/>
        <w:ind w:firstLine="420"/>
        <w:outlineLvl w:val="1"/>
        <w:rPr>
          <w:rFonts w:eastAsia="宋体"/>
          <w:bCs/>
          <w:sz w:val="24"/>
          <w:szCs w:val="21"/>
          <w:highlight w:val="none"/>
        </w:rPr>
      </w:pPr>
      <w:bookmarkStart w:id="57" w:name="_Toc184723232"/>
      <w:r>
        <w:rPr>
          <w:rFonts w:hint="eastAsia" w:eastAsia="宋体"/>
          <w:bCs/>
          <w:sz w:val="24"/>
          <w:szCs w:val="21"/>
          <w:highlight w:val="none"/>
        </w:rPr>
        <w:t>5、所有密封口处均应用封条密封并加盖遴选响应人公章和法定代表人或其委托代理人印章或签字，并注明“2025年</w:t>
      </w:r>
      <w:r>
        <w:rPr>
          <w:rFonts w:hint="eastAsia" w:eastAsia="宋体"/>
          <w:bCs/>
          <w:sz w:val="24"/>
          <w:szCs w:val="21"/>
          <w:highlight w:val="none"/>
          <w:lang w:val="en-US" w:eastAsia="zh-CN"/>
        </w:rPr>
        <w:t>5</w:t>
      </w:r>
      <w:r>
        <w:rPr>
          <w:rFonts w:hint="eastAsia" w:eastAsia="宋体"/>
          <w:bCs/>
          <w:sz w:val="24"/>
          <w:szCs w:val="21"/>
          <w:highlight w:val="none"/>
        </w:rPr>
        <w:t>月</w:t>
      </w:r>
      <w:r>
        <w:rPr>
          <w:rFonts w:hint="eastAsia" w:eastAsia="宋体"/>
          <w:bCs/>
          <w:sz w:val="24"/>
          <w:szCs w:val="21"/>
          <w:highlight w:val="none"/>
          <w:lang w:val="en-US" w:eastAsia="zh-CN"/>
        </w:rPr>
        <w:t>8</w:t>
      </w:r>
      <w:r>
        <w:rPr>
          <w:rFonts w:hint="eastAsia" w:eastAsia="宋体"/>
          <w:bCs/>
          <w:sz w:val="24"/>
          <w:szCs w:val="21"/>
          <w:highlight w:val="none"/>
        </w:rPr>
        <w:t>日15时30分前不准启封”的字样。</w:t>
      </w:r>
      <w:bookmarkEnd w:id="57"/>
    </w:p>
    <w:p w14:paraId="6C0AC015">
      <w:pPr>
        <w:spacing w:line="360" w:lineRule="auto"/>
        <w:ind w:firstLine="420"/>
        <w:outlineLvl w:val="1"/>
        <w:rPr>
          <w:rFonts w:eastAsia="宋体"/>
          <w:bCs/>
          <w:sz w:val="24"/>
          <w:szCs w:val="21"/>
          <w:highlight w:val="none"/>
        </w:rPr>
      </w:pPr>
      <w:bookmarkStart w:id="58" w:name="_Toc184723233"/>
      <w:r>
        <w:rPr>
          <w:rFonts w:hint="eastAsia" w:eastAsia="宋体"/>
          <w:bCs/>
          <w:sz w:val="24"/>
          <w:szCs w:val="21"/>
          <w:highlight w:val="none"/>
        </w:rPr>
        <w:t>备注：遴选响应文件中的格式文件，请遴选响应人必须按照遴选文件提供的格式文件进行提供，不得进行修改、涂抹、删除等，否则将按响应无效处理。</w:t>
      </w:r>
      <w:bookmarkEnd w:id="58"/>
    </w:p>
    <w:p w14:paraId="75DE34D5">
      <w:pPr>
        <w:spacing w:line="360" w:lineRule="auto"/>
        <w:ind w:firstLine="480" w:firstLineChars="200"/>
        <w:rPr>
          <w:rFonts w:eastAsia="宋体"/>
          <w:bCs/>
          <w:sz w:val="24"/>
          <w:szCs w:val="21"/>
          <w:highlight w:val="none"/>
        </w:rPr>
      </w:pPr>
    </w:p>
    <w:p w14:paraId="0BC3E53C">
      <w:pPr>
        <w:wordWrap w:val="0"/>
        <w:spacing w:line="360" w:lineRule="auto"/>
        <w:ind w:firstLine="480" w:firstLineChars="200"/>
        <w:jc w:val="right"/>
        <w:rPr>
          <w:rFonts w:eastAsia="宋体"/>
          <w:sz w:val="24"/>
          <w:szCs w:val="21"/>
          <w:highlight w:val="none"/>
        </w:rPr>
      </w:pPr>
      <w:r>
        <w:rPr>
          <w:rFonts w:hint="eastAsia" w:eastAsia="宋体"/>
          <w:sz w:val="24"/>
          <w:szCs w:val="21"/>
          <w:highlight w:val="none"/>
        </w:rPr>
        <w:t xml:space="preserve">开平市中医院  </w:t>
      </w:r>
    </w:p>
    <w:p w14:paraId="4179E69A">
      <w:pPr>
        <w:spacing w:line="360" w:lineRule="auto"/>
        <w:ind w:left="160"/>
        <w:jc w:val="right"/>
        <w:rPr>
          <w:rFonts w:eastAsia="宋体"/>
          <w:sz w:val="24"/>
          <w:szCs w:val="21"/>
          <w:highlight w:val="none"/>
        </w:rPr>
      </w:pPr>
      <w:r>
        <w:rPr>
          <w:rFonts w:eastAsia="宋体"/>
          <w:sz w:val="24"/>
          <w:szCs w:val="21"/>
          <w:highlight w:val="none"/>
        </w:rPr>
        <w:t xml:space="preserve"> 202</w:t>
      </w:r>
      <w:r>
        <w:rPr>
          <w:rFonts w:hint="eastAsia" w:eastAsia="宋体"/>
          <w:sz w:val="24"/>
          <w:szCs w:val="21"/>
          <w:highlight w:val="none"/>
          <w:lang w:val="en-US" w:eastAsia="zh-CN"/>
        </w:rPr>
        <w:t>5</w:t>
      </w:r>
      <w:r>
        <w:rPr>
          <w:rFonts w:eastAsia="宋体"/>
          <w:sz w:val="24"/>
          <w:szCs w:val="21"/>
          <w:highlight w:val="none"/>
        </w:rPr>
        <w:t>年</w:t>
      </w:r>
      <w:r>
        <w:rPr>
          <w:rFonts w:hint="eastAsia" w:eastAsia="宋体"/>
          <w:sz w:val="24"/>
          <w:szCs w:val="21"/>
          <w:highlight w:val="none"/>
          <w:lang w:val="en-US" w:eastAsia="zh-CN"/>
        </w:rPr>
        <w:t>4</w:t>
      </w:r>
      <w:r>
        <w:rPr>
          <w:rFonts w:hint="eastAsia" w:eastAsia="宋体"/>
          <w:sz w:val="24"/>
          <w:szCs w:val="21"/>
          <w:highlight w:val="none"/>
        </w:rPr>
        <w:t>月</w:t>
      </w:r>
      <w:r>
        <w:rPr>
          <w:rFonts w:hint="eastAsia" w:eastAsia="宋体"/>
          <w:sz w:val="24"/>
          <w:szCs w:val="21"/>
          <w:highlight w:val="none"/>
          <w:lang w:val="en-US" w:eastAsia="zh-CN"/>
        </w:rPr>
        <w:t>29</w:t>
      </w:r>
      <w:r>
        <w:rPr>
          <w:rFonts w:eastAsia="宋体"/>
          <w:sz w:val="24"/>
          <w:szCs w:val="21"/>
          <w:highlight w:val="none"/>
        </w:rPr>
        <w:t>日</w:t>
      </w:r>
    </w:p>
    <w:p w14:paraId="61CCB059">
      <w:pPr>
        <w:pStyle w:val="2"/>
        <w:keepNext w:val="0"/>
        <w:keepLines w:val="0"/>
        <w:spacing w:before="0" w:after="0" w:line="360" w:lineRule="auto"/>
        <w:jc w:val="center"/>
        <w:rPr>
          <w:highlight w:val="none"/>
        </w:rPr>
      </w:pPr>
      <w:bookmarkStart w:id="59" w:name="_Toc56352967"/>
      <w:bookmarkStart w:id="60" w:name="_Toc486671526"/>
      <w:bookmarkStart w:id="61" w:name="_Toc51756450"/>
      <w:bookmarkStart w:id="62" w:name="_Toc52021497"/>
      <w:bookmarkStart w:id="63" w:name="_Toc52027884"/>
      <w:bookmarkStart w:id="64" w:name="_Toc467236722"/>
      <w:bookmarkStart w:id="65" w:name="_Toc458262591"/>
      <w:bookmarkStart w:id="66" w:name="_Toc51939415"/>
      <w:bookmarkStart w:id="67" w:name="_Toc476976154"/>
      <w:r>
        <w:rPr>
          <w:highlight w:val="none"/>
        </w:rPr>
        <w:br w:type="page"/>
      </w:r>
      <w:bookmarkStart w:id="68" w:name="_Toc184723234"/>
      <w:r>
        <w:rPr>
          <w:rFonts w:ascii="Times New Roman"/>
          <w:sz w:val="36"/>
          <w:szCs w:val="28"/>
          <w:highlight w:val="none"/>
        </w:rPr>
        <w:t>第二部分</w:t>
      </w:r>
      <w:bookmarkEnd w:id="59"/>
      <w:bookmarkEnd w:id="60"/>
      <w:bookmarkEnd w:id="61"/>
      <w:bookmarkEnd w:id="62"/>
      <w:bookmarkEnd w:id="63"/>
      <w:bookmarkEnd w:id="64"/>
      <w:bookmarkEnd w:id="65"/>
      <w:bookmarkEnd w:id="66"/>
      <w:bookmarkEnd w:id="67"/>
      <w:r>
        <w:rPr>
          <w:rFonts w:ascii="Times New Roman"/>
          <w:sz w:val="36"/>
          <w:szCs w:val="28"/>
          <w:highlight w:val="none"/>
        </w:rPr>
        <w:t>采购需求</w:t>
      </w:r>
      <w:bookmarkEnd w:id="68"/>
      <w:bookmarkStart w:id="69" w:name="_Toc479991564"/>
      <w:bookmarkStart w:id="70" w:name="_Toc468157518"/>
      <w:bookmarkStart w:id="71" w:name="_Toc480010690"/>
      <w:bookmarkStart w:id="72" w:name="_Toc468606011"/>
      <w:bookmarkStart w:id="73" w:name="_Toc480171861"/>
      <w:bookmarkStart w:id="74" w:name="_Toc480021035"/>
      <w:bookmarkStart w:id="75" w:name="_Toc480020239"/>
    </w:p>
    <w:p w14:paraId="1EBFC7A3">
      <w:pPr>
        <w:pStyle w:val="23"/>
        <w:spacing w:line="360" w:lineRule="auto"/>
        <w:ind w:firstLine="482"/>
        <w:outlineLvl w:val="1"/>
        <w:rPr>
          <w:rFonts w:hAnsi="宋体"/>
          <w:b/>
          <w:sz w:val="24"/>
          <w:szCs w:val="24"/>
          <w:highlight w:val="none"/>
        </w:rPr>
      </w:pPr>
      <w:bookmarkStart w:id="76" w:name="_Toc184723235"/>
      <w:r>
        <w:rPr>
          <w:rFonts w:hAnsi="宋体"/>
          <w:b/>
          <w:sz w:val="24"/>
          <w:szCs w:val="24"/>
          <w:highlight w:val="none"/>
        </w:rPr>
        <w:t>一、</w:t>
      </w:r>
      <w:r>
        <w:rPr>
          <w:rFonts w:hint="eastAsia" w:hAnsi="宋体"/>
          <w:b/>
          <w:sz w:val="24"/>
          <w:szCs w:val="24"/>
          <w:highlight w:val="none"/>
        </w:rPr>
        <w:t>项目</w:t>
      </w:r>
      <w:r>
        <w:rPr>
          <w:rFonts w:hAnsi="宋体"/>
          <w:b/>
          <w:sz w:val="24"/>
          <w:szCs w:val="24"/>
          <w:highlight w:val="none"/>
        </w:rPr>
        <w:t>概况</w:t>
      </w:r>
      <w:bookmarkEnd w:id="76"/>
    </w:p>
    <w:p w14:paraId="56216A80">
      <w:pPr>
        <w:spacing w:line="360" w:lineRule="auto"/>
        <w:ind w:firstLine="480" w:firstLineChars="200"/>
        <w:rPr>
          <w:rFonts w:hint="eastAsia" w:ascii="宋体" w:hAnsi="宋体" w:eastAsia="宋体"/>
          <w:bCs/>
          <w:sz w:val="24"/>
          <w:szCs w:val="21"/>
          <w:highlight w:val="none"/>
          <w:u w:val="single"/>
          <w:lang w:val="en-US" w:eastAsia="zh-CN"/>
        </w:rPr>
      </w:pPr>
      <w:r>
        <w:rPr>
          <w:rFonts w:hint="eastAsia" w:ascii="宋体" w:hAnsi="宋体" w:eastAsia="宋体"/>
          <w:bCs/>
          <w:sz w:val="24"/>
          <w:szCs w:val="21"/>
          <w:highlight w:val="none"/>
          <w:u w:val="single"/>
        </w:rPr>
        <w:t>主要内容包括</w:t>
      </w:r>
      <w:r>
        <w:rPr>
          <w:rFonts w:hint="eastAsia" w:ascii="宋体" w:hAnsi="宋体" w:eastAsia="宋体"/>
          <w:bCs/>
          <w:sz w:val="24"/>
          <w:szCs w:val="21"/>
          <w:highlight w:val="none"/>
          <w:u w:val="single"/>
          <w:lang w:val="en-US" w:eastAsia="zh-CN"/>
        </w:rPr>
        <w:t>体检系统软件1套及配套的安装、调试、培训等，该系统应具备普通体检、职业体检、健康证体检一体化功能，能够全面覆盖采购人的体检业务需求，同时确保系统与广东省职业健康检查质量控制中心的对接和数据交换</w:t>
      </w:r>
      <w:r>
        <w:rPr>
          <w:rFonts w:hint="eastAsia" w:ascii="宋体" w:hAnsi="宋体" w:eastAsia="宋体"/>
          <w:bCs/>
          <w:sz w:val="24"/>
          <w:szCs w:val="21"/>
          <w:highlight w:val="none"/>
          <w:u w:val="single"/>
        </w:rPr>
        <w:t>。</w:t>
      </w:r>
      <w:r>
        <w:rPr>
          <w:rFonts w:hint="eastAsia" w:ascii="宋体" w:hAnsi="宋体" w:eastAsia="宋体"/>
          <w:bCs/>
          <w:sz w:val="24"/>
          <w:szCs w:val="21"/>
          <w:highlight w:val="none"/>
          <w:u w:val="single"/>
          <w:lang w:val="en-US" w:eastAsia="zh-CN"/>
        </w:rPr>
        <w:t>此外，该系统还应具备高度的灵活性和可扩展性，能够根据采购人未来的业务发展需求进行功能定制和升级。同时，提供与HIS、LIS、PACS、心电图系统等采购人在用信息系统连接的数据接口并完成数据对接。</w:t>
      </w:r>
    </w:p>
    <w:p w14:paraId="67E0DC0D">
      <w:pPr>
        <w:spacing w:line="360" w:lineRule="auto"/>
        <w:ind w:firstLine="480" w:firstLineChars="200"/>
        <w:rPr>
          <w:rFonts w:hint="default" w:ascii="宋体" w:hAnsi="宋体" w:eastAsia="宋体"/>
          <w:bCs/>
          <w:sz w:val="24"/>
          <w:szCs w:val="21"/>
          <w:highlight w:val="none"/>
          <w:u w:val="single"/>
          <w:lang w:val="en-US" w:eastAsia="zh-CN"/>
        </w:rPr>
      </w:pPr>
      <w:r>
        <w:rPr>
          <w:rFonts w:hint="eastAsia" w:ascii="宋体" w:hAnsi="宋体" w:eastAsia="宋体"/>
          <w:bCs/>
          <w:sz w:val="24"/>
          <w:szCs w:val="21"/>
          <w:highlight w:val="none"/>
          <w:u w:val="single"/>
          <w:lang w:val="en-US" w:eastAsia="zh-CN"/>
        </w:rPr>
        <w:t>目前，采购人在用HIS系统开发商为广州同芯科技有限公司，LIS系统开发商为武汉捷硕信息科技有限公司，PACS系统开发商为广州市龙影信息科技有限公司，心电图系统开发商为上海光电医用电子仪器有限公司。</w:t>
      </w:r>
    </w:p>
    <w:p w14:paraId="1722AFC6">
      <w:pPr>
        <w:spacing w:line="360" w:lineRule="auto"/>
        <w:ind w:firstLine="480" w:firstLineChars="200"/>
        <w:rPr>
          <w:rFonts w:ascii="宋体" w:hAnsi="Courier New" w:eastAsia="宋体"/>
          <w:sz w:val="24"/>
          <w:szCs w:val="21"/>
          <w:highlight w:val="none"/>
        </w:rPr>
      </w:pPr>
      <w:r>
        <w:rPr>
          <w:rFonts w:hint="eastAsia" w:ascii="宋体" w:hAnsi="Courier New" w:eastAsia="宋体"/>
          <w:sz w:val="24"/>
          <w:szCs w:val="21"/>
          <w:highlight w:val="none"/>
        </w:rPr>
        <w:t>1、项目地点：</w:t>
      </w:r>
      <w:r>
        <w:rPr>
          <w:rFonts w:hint="eastAsia" w:ascii="宋体" w:hAnsi="Courier New" w:eastAsia="宋体"/>
          <w:sz w:val="24"/>
          <w:szCs w:val="21"/>
          <w:highlight w:val="none"/>
          <w:u w:val="single"/>
        </w:rPr>
        <w:t>开平市中医院</w:t>
      </w:r>
    </w:p>
    <w:p w14:paraId="4D99E4F0">
      <w:pPr>
        <w:spacing w:line="360" w:lineRule="auto"/>
        <w:ind w:firstLine="480" w:firstLineChars="200"/>
        <w:rPr>
          <w:rFonts w:hint="eastAsia" w:ascii="宋体" w:hAnsi="宋体" w:eastAsia="宋体"/>
          <w:sz w:val="24"/>
          <w:szCs w:val="21"/>
          <w:highlight w:val="none"/>
        </w:rPr>
      </w:pPr>
      <w:r>
        <w:rPr>
          <w:rFonts w:hint="eastAsia" w:ascii="宋体" w:hAnsi="宋体" w:eastAsia="宋体"/>
          <w:sz w:val="24"/>
          <w:szCs w:val="21"/>
          <w:highlight w:val="none"/>
        </w:rPr>
        <w:t>2、采购项目预算金额（元）：</w:t>
      </w:r>
      <w:r>
        <w:rPr>
          <w:rFonts w:hint="eastAsia" w:ascii="宋体" w:hAnsi="宋体" w:eastAsia="宋体"/>
          <w:sz w:val="24"/>
          <w:szCs w:val="21"/>
          <w:highlight w:val="none"/>
          <w:u w:val="single"/>
          <w:lang w:val="en-US" w:eastAsia="zh-CN"/>
        </w:rPr>
        <w:t>28</w:t>
      </w:r>
      <w:r>
        <w:rPr>
          <w:rFonts w:hint="eastAsia" w:ascii="宋体" w:hAnsi="宋体" w:eastAsia="宋体"/>
          <w:sz w:val="24"/>
          <w:szCs w:val="21"/>
          <w:highlight w:val="none"/>
          <w:u w:val="single"/>
        </w:rPr>
        <w:t>万</w:t>
      </w:r>
      <w:r>
        <w:rPr>
          <w:rFonts w:hint="eastAsia" w:ascii="宋体" w:hAnsi="宋体" w:eastAsia="宋体"/>
          <w:sz w:val="24"/>
          <w:szCs w:val="21"/>
          <w:highlight w:val="none"/>
        </w:rPr>
        <w:t>元（</w:t>
      </w:r>
      <w:r>
        <w:rPr>
          <w:rFonts w:hint="eastAsia" w:ascii="宋体" w:hAnsi="宋体" w:eastAsia="宋体"/>
          <w:sz w:val="24"/>
          <w:szCs w:val="21"/>
          <w:highlight w:val="none"/>
          <w:lang w:val="en-US" w:eastAsia="zh-CN"/>
        </w:rPr>
        <w:t>预算金额为含税价，</w:t>
      </w:r>
      <w:r>
        <w:rPr>
          <w:rFonts w:hint="eastAsia" w:ascii="宋体" w:hAnsi="宋体" w:eastAsia="宋体"/>
          <w:sz w:val="24"/>
          <w:szCs w:val="21"/>
          <w:highlight w:val="none"/>
        </w:rPr>
        <w:t>包含</w:t>
      </w:r>
      <w:r>
        <w:rPr>
          <w:rFonts w:hint="eastAsia" w:ascii="宋体" w:hAnsi="宋体" w:eastAsia="宋体"/>
          <w:sz w:val="24"/>
          <w:szCs w:val="21"/>
          <w:highlight w:val="none"/>
          <w:lang w:val="en-US" w:eastAsia="zh-CN"/>
        </w:rPr>
        <w:t>体检系统软件1套及配套的安装、调试、培训等费用，包括与省级职业体检平台、区域健康档案平台及HIS、LIS、PACS、心电图系统等医院在用系统连接的数据接口费用</w:t>
      </w:r>
      <w:r>
        <w:rPr>
          <w:rFonts w:hint="eastAsia" w:ascii="宋体" w:hAnsi="宋体" w:eastAsia="宋体"/>
          <w:sz w:val="24"/>
          <w:szCs w:val="21"/>
          <w:highlight w:val="none"/>
        </w:rPr>
        <w:t>）</w:t>
      </w:r>
    </w:p>
    <w:p w14:paraId="63D03D93">
      <w:pPr>
        <w:spacing w:line="360" w:lineRule="auto"/>
        <w:ind w:firstLine="480" w:firstLineChars="200"/>
        <w:rPr>
          <w:rFonts w:ascii="宋体" w:hAnsi="Courier New" w:eastAsia="宋体"/>
          <w:sz w:val="24"/>
          <w:szCs w:val="21"/>
          <w:highlight w:val="none"/>
        </w:rPr>
      </w:pPr>
      <w:r>
        <w:rPr>
          <w:rFonts w:hint="eastAsia" w:ascii="宋体" w:hAnsi="Courier New" w:eastAsia="宋体"/>
          <w:sz w:val="24"/>
          <w:szCs w:val="21"/>
          <w:highlight w:val="none"/>
        </w:rPr>
        <w:t>3、工期：</w:t>
      </w:r>
      <w:r>
        <w:rPr>
          <w:rFonts w:hint="eastAsia" w:ascii="宋体" w:hAnsi="Courier New" w:eastAsia="宋体"/>
          <w:sz w:val="24"/>
          <w:szCs w:val="21"/>
          <w:highlight w:val="none"/>
          <w:lang w:val="en-US" w:eastAsia="zh-CN"/>
        </w:rPr>
        <w:t>9</w:t>
      </w:r>
      <w:r>
        <w:rPr>
          <w:rFonts w:hint="eastAsia" w:ascii="宋体" w:hAnsi="Courier New" w:eastAsia="宋体"/>
          <w:sz w:val="24"/>
          <w:szCs w:val="21"/>
          <w:highlight w:val="none"/>
        </w:rPr>
        <w:t>0 个日历天，从合同签订生效之日起开始计算。</w:t>
      </w:r>
    </w:p>
    <w:p w14:paraId="2C5F4B4D">
      <w:pPr>
        <w:spacing w:line="360" w:lineRule="auto"/>
        <w:ind w:firstLine="480" w:firstLineChars="200"/>
        <w:rPr>
          <w:rFonts w:ascii="宋体" w:hAnsi="Courier New" w:eastAsia="宋体"/>
          <w:sz w:val="24"/>
          <w:szCs w:val="21"/>
          <w:highlight w:val="none"/>
        </w:rPr>
      </w:pPr>
      <w:r>
        <w:rPr>
          <w:rFonts w:hint="eastAsia" w:ascii="宋体" w:hAnsi="Courier New" w:eastAsia="宋体"/>
          <w:sz w:val="24"/>
          <w:szCs w:val="21"/>
          <w:highlight w:val="none"/>
        </w:rPr>
        <w:t>4、质量要求：符合国家及行业现行有关规范和标准</w:t>
      </w:r>
      <w:r>
        <w:rPr>
          <w:rFonts w:hint="eastAsia" w:ascii="宋体" w:hAnsi="Courier New" w:eastAsia="宋体"/>
          <w:sz w:val="24"/>
          <w:szCs w:val="21"/>
          <w:highlight w:val="none"/>
          <w:lang w:eastAsia="zh-CN"/>
        </w:rPr>
        <w:t>，</w:t>
      </w:r>
      <w:r>
        <w:rPr>
          <w:rFonts w:hint="eastAsia" w:ascii="宋体" w:hAnsi="Courier New" w:eastAsia="宋体"/>
          <w:sz w:val="24"/>
          <w:szCs w:val="21"/>
          <w:highlight w:val="none"/>
          <w:lang w:val="en-US" w:eastAsia="zh-CN"/>
        </w:rPr>
        <w:t>满足采购人的使用需求</w:t>
      </w:r>
      <w:r>
        <w:rPr>
          <w:rFonts w:hint="eastAsia" w:ascii="宋体" w:hAnsi="Courier New" w:eastAsia="宋体"/>
          <w:sz w:val="24"/>
          <w:szCs w:val="21"/>
          <w:highlight w:val="none"/>
        </w:rPr>
        <w:t>。</w:t>
      </w:r>
    </w:p>
    <w:p w14:paraId="4B921675">
      <w:pPr>
        <w:pStyle w:val="23"/>
        <w:spacing w:line="360" w:lineRule="auto"/>
        <w:ind w:firstLine="482"/>
        <w:outlineLvl w:val="1"/>
        <w:rPr>
          <w:rFonts w:hAnsi="宋体"/>
          <w:b/>
          <w:sz w:val="24"/>
          <w:szCs w:val="24"/>
          <w:highlight w:val="none"/>
        </w:rPr>
      </w:pPr>
      <w:bookmarkStart w:id="77" w:name="_Toc184723236"/>
      <w:r>
        <w:rPr>
          <w:rFonts w:hint="eastAsia" w:hAnsi="宋体"/>
          <w:b/>
          <w:sz w:val="24"/>
          <w:szCs w:val="24"/>
          <w:highlight w:val="none"/>
        </w:rPr>
        <w:t>二、</w:t>
      </w:r>
      <w:bookmarkStart w:id="78" w:name="_Hlk96871101"/>
      <w:r>
        <w:rPr>
          <w:rFonts w:hint="eastAsia" w:hAnsi="宋体"/>
          <w:b/>
          <w:sz w:val="24"/>
          <w:szCs w:val="24"/>
          <w:highlight w:val="none"/>
        </w:rPr>
        <w:t>供应商资格条件</w:t>
      </w:r>
      <w:bookmarkEnd w:id="77"/>
      <w:bookmarkEnd w:id="78"/>
    </w:p>
    <w:p w14:paraId="501FDB51">
      <w:pPr>
        <w:spacing w:line="360" w:lineRule="auto"/>
        <w:ind w:firstLine="420"/>
        <w:outlineLvl w:val="1"/>
        <w:rPr>
          <w:rFonts w:eastAsia="宋体"/>
          <w:bCs/>
          <w:sz w:val="24"/>
          <w:szCs w:val="21"/>
          <w:highlight w:val="none"/>
        </w:rPr>
      </w:pPr>
      <w:bookmarkStart w:id="79" w:name="_Toc184723237"/>
      <w:bookmarkStart w:id="80" w:name="_Toc53651885"/>
      <w:bookmarkStart w:id="81" w:name="_Toc81905139"/>
      <w:r>
        <w:rPr>
          <w:rFonts w:hint="eastAsia" w:eastAsia="宋体"/>
          <w:bCs/>
          <w:sz w:val="24"/>
          <w:szCs w:val="21"/>
          <w:highlight w:val="none"/>
        </w:rPr>
        <w:t>供应商必须满足以下资格要求中的所有条款，并按照相关规定递交资格证明文件。</w:t>
      </w:r>
      <w:bookmarkEnd w:id="79"/>
    </w:p>
    <w:p w14:paraId="0EDA4365">
      <w:pPr>
        <w:spacing w:line="360" w:lineRule="auto"/>
        <w:ind w:firstLine="420"/>
        <w:outlineLvl w:val="1"/>
        <w:rPr>
          <w:rFonts w:ascii="宋体" w:hAnsi="宋体" w:eastAsia="宋体"/>
          <w:sz w:val="24"/>
          <w:szCs w:val="21"/>
          <w:highlight w:val="none"/>
        </w:rPr>
      </w:pPr>
      <w:r>
        <w:rPr>
          <w:rFonts w:hint="eastAsia" w:eastAsia="宋体"/>
          <w:bCs/>
          <w:sz w:val="24"/>
          <w:szCs w:val="21"/>
          <w:highlight w:val="none"/>
        </w:rPr>
        <w:t>1、</w:t>
      </w:r>
      <w:r>
        <w:rPr>
          <w:rFonts w:hint="eastAsia" w:ascii="宋体" w:hAnsi="宋体" w:eastAsia="宋体"/>
          <w:sz w:val="24"/>
          <w:szCs w:val="21"/>
          <w:highlight w:val="none"/>
        </w:rPr>
        <w:t>在中华人民共和国境内注册的法人或其他组织或自然人，财务状况良好，依法缴纳税收和社会保障资金,遴选响应文件中提供有效的营业执照（或事业法人登记证或身份证等相关证明）复印件（加盖公章）。</w:t>
      </w:r>
    </w:p>
    <w:p w14:paraId="567E2D04">
      <w:pPr>
        <w:spacing w:line="360" w:lineRule="auto"/>
        <w:ind w:firstLine="424" w:firstLineChars="177"/>
        <w:outlineLvl w:val="1"/>
        <w:rPr>
          <w:rFonts w:hint="eastAsia" w:eastAsia="宋体"/>
          <w:bCs/>
          <w:sz w:val="24"/>
          <w:szCs w:val="21"/>
          <w:highlight w:val="none"/>
        </w:rPr>
      </w:pPr>
      <w:r>
        <w:rPr>
          <w:rFonts w:hint="eastAsia" w:eastAsia="宋体"/>
          <w:bCs/>
          <w:sz w:val="24"/>
          <w:szCs w:val="21"/>
          <w:highlight w:val="none"/>
        </w:rPr>
        <w:t>2、履行合同所必需的设备和专业技术能力：提供承诺函（格式自拟，承诺内容包括但不限于</w:t>
      </w:r>
      <w:r>
        <w:rPr>
          <w:rFonts w:hint="eastAsia" w:eastAsia="宋体"/>
          <w:bCs/>
          <w:sz w:val="24"/>
          <w:szCs w:val="21"/>
          <w:highlight w:val="none"/>
          <w:lang w:eastAsia="zh-CN"/>
        </w:rPr>
        <w:t>：</w:t>
      </w:r>
      <w:r>
        <w:rPr>
          <w:rFonts w:hint="eastAsia" w:eastAsia="宋体"/>
          <w:bCs/>
          <w:sz w:val="24"/>
          <w:szCs w:val="21"/>
          <w:highlight w:val="none"/>
        </w:rPr>
        <w:t>“我方具有履行本项目合同所必需的设备及专业技术能力”）。</w:t>
      </w:r>
    </w:p>
    <w:p w14:paraId="7AC7B453">
      <w:pPr>
        <w:spacing w:line="360" w:lineRule="auto"/>
        <w:ind w:firstLine="424" w:firstLineChars="177"/>
        <w:outlineLvl w:val="1"/>
        <w:rPr>
          <w:rFonts w:eastAsia="宋体"/>
          <w:bCs/>
          <w:sz w:val="24"/>
          <w:szCs w:val="21"/>
          <w:highlight w:val="none"/>
        </w:rPr>
      </w:pPr>
      <w:r>
        <w:rPr>
          <w:rFonts w:hint="eastAsia" w:eastAsia="宋体"/>
          <w:bCs/>
          <w:sz w:val="24"/>
          <w:szCs w:val="21"/>
          <w:highlight w:val="none"/>
        </w:rPr>
        <w:t>3、具有良好的商业信誉和完善的售后服务体系，提供信誉良好承诺函。</w:t>
      </w:r>
    </w:p>
    <w:p w14:paraId="78EFB414">
      <w:pPr>
        <w:spacing w:line="360" w:lineRule="auto"/>
        <w:ind w:firstLine="424" w:firstLineChars="177"/>
        <w:outlineLvl w:val="1"/>
        <w:rPr>
          <w:rFonts w:eastAsia="宋体"/>
          <w:bCs/>
          <w:sz w:val="24"/>
          <w:szCs w:val="21"/>
          <w:highlight w:val="none"/>
        </w:rPr>
      </w:pPr>
      <w:r>
        <w:rPr>
          <w:rFonts w:hint="eastAsia" w:eastAsia="宋体"/>
          <w:bCs/>
          <w:sz w:val="24"/>
          <w:szCs w:val="21"/>
          <w:highlight w:val="none"/>
        </w:rPr>
        <w:t>4、不得有商业贿赂和不正当欺诈行为。如遴选响应人被证实有以上行为，将被视为不合格。</w:t>
      </w:r>
    </w:p>
    <w:p w14:paraId="78CA8E5C">
      <w:pPr>
        <w:spacing w:line="360" w:lineRule="auto"/>
        <w:ind w:firstLine="424" w:firstLineChars="177"/>
        <w:outlineLvl w:val="1"/>
        <w:rPr>
          <w:rFonts w:eastAsia="宋体"/>
          <w:bCs/>
          <w:sz w:val="24"/>
          <w:szCs w:val="21"/>
          <w:highlight w:val="none"/>
        </w:rPr>
      </w:pPr>
      <w:r>
        <w:rPr>
          <w:rFonts w:hint="eastAsia" w:eastAsia="宋体"/>
          <w:bCs/>
          <w:sz w:val="24"/>
          <w:szCs w:val="21"/>
          <w:highlight w:val="none"/>
        </w:rPr>
        <w:t>5、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0DE416BF">
      <w:pPr>
        <w:spacing w:line="360" w:lineRule="auto"/>
        <w:ind w:firstLine="424" w:firstLineChars="177"/>
        <w:outlineLvl w:val="1"/>
        <w:rPr>
          <w:rFonts w:eastAsia="宋体"/>
          <w:bCs/>
          <w:sz w:val="24"/>
          <w:szCs w:val="21"/>
          <w:highlight w:val="none"/>
        </w:rPr>
      </w:pPr>
      <w:r>
        <w:rPr>
          <w:rFonts w:hint="eastAsia" w:eastAsia="宋体"/>
          <w:bCs/>
          <w:sz w:val="24"/>
          <w:szCs w:val="21"/>
          <w:highlight w:val="none"/>
        </w:rPr>
        <w:t>6、如遴选响应人被政府有关部门通报列入黑名单的，禁止参加本项目遴选响应。</w:t>
      </w:r>
    </w:p>
    <w:p w14:paraId="4A346DA8">
      <w:pPr>
        <w:spacing w:line="360" w:lineRule="auto"/>
        <w:ind w:firstLine="424" w:firstLineChars="177"/>
        <w:outlineLvl w:val="1"/>
        <w:rPr>
          <w:rFonts w:eastAsia="宋体"/>
          <w:bCs/>
          <w:sz w:val="24"/>
          <w:szCs w:val="21"/>
          <w:highlight w:val="none"/>
        </w:rPr>
      </w:pPr>
      <w:r>
        <w:rPr>
          <w:rFonts w:hint="eastAsia" w:eastAsia="宋体"/>
          <w:bCs/>
          <w:sz w:val="24"/>
          <w:szCs w:val="21"/>
          <w:highlight w:val="none"/>
        </w:rPr>
        <w:t>7、单位负责人为同一人或者存在控股、管理关系的不同单位，不得同时参加同一项目的遴选响应。</w:t>
      </w:r>
    </w:p>
    <w:p w14:paraId="4F4D73C4">
      <w:pPr>
        <w:spacing w:line="360" w:lineRule="auto"/>
        <w:ind w:firstLine="424" w:firstLineChars="177"/>
        <w:outlineLvl w:val="1"/>
        <w:rPr>
          <w:rFonts w:eastAsia="宋体"/>
          <w:bCs/>
          <w:sz w:val="24"/>
          <w:szCs w:val="21"/>
          <w:highlight w:val="none"/>
        </w:rPr>
      </w:pPr>
      <w:r>
        <w:rPr>
          <w:rFonts w:hint="eastAsia" w:eastAsia="宋体"/>
          <w:bCs/>
          <w:sz w:val="24"/>
          <w:szCs w:val="21"/>
          <w:highlight w:val="none"/>
        </w:rPr>
        <w:t>8、遴选响应人经营行为必须符合国家法律、法规和有关规定。</w:t>
      </w:r>
    </w:p>
    <w:p w14:paraId="38102CED">
      <w:pPr>
        <w:spacing w:line="360" w:lineRule="auto"/>
        <w:ind w:firstLine="424" w:firstLineChars="177"/>
        <w:outlineLvl w:val="1"/>
        <w:rPr>
          <w:rFonts w:eastAsia="宋体"/>
          <w:bCs/>
          <w:sz w:val="24"/>
          <w:szCs w:val="21"/>
          <w:highlight w:val="none"/>
        </w:rPr>
      </w:pPr>
      <w:r>
        <w:rPr>
          <w:rFonts w:hint="eastAsia" w:eastAsia="宋体"/>
          <w:bCs/>
          <w:sz w:val="24"/>
          <w:szCs w:val="21"/>
          <w:highlight w:val="none"/>
        </w:rPr>
        <w:t>9、本次遴选不接受联合体遴选响应。</w:t>
      </w:r>
    </w:p>
    <w:p w14:paraId="5658B4AA">
      <w:pPr>
        <w:spacing w:line="360" w:lineRule="auto"/>
        <w:ind w:firstLine="424" w:firstLineChars="177"/>
        <w:outlineLvl w:val="1"/>
        <w:rPr>
          <w:rFonts w:eastAsia="宋体"/>
          <w:bCs/>
          <w:sz w:val="24"/>
          <w:szCs w:val="21"/>
          <w:highlight w:val="none"/>
        </w:rPr>
      </w:pPr>
      <w:r>
        <w:rPr>
          <w:rFonts w:hint="eastAsia" w:eastAsia="宋体"/>
          <w:bCs/>
          <w:sz w:val="24"/>
          <w:szCs w:val="21"/>
          <w:highlight w:val="none"/>
        </w:rPr>
        <w:t>10、本次遴选未得到采购人允许，不得转包、分包，否则取消其响应、成交资格，并赔偿采购人全部损失。</w:t>
      </w:r>
    </w:p>
    <w:p w14:paraId="3F0DF0A8">
      <w:pPr>
        <w:pStyle w:val="23"/>
        <w:spacing w:line="360" w:lineRule="auto"/>
        <w:ind w:firstLine="482"/>
        <w:outlineLvl w:val="1"/>
        <w:rPr>
          <w:rFonts w:hAnsi="宋体"/>
          <w:b/>
          <w:sz w:val="24"/>
          <w:szCs w:val="24"/>
          <w:highlight w:val="none"/>
        </w:rPr>
      </w:pPr>
      <w:bookmarkStart w:id="82" w:name="_Toc184723250"/>
      <w:r>
        <w:rPr>
          <w:rFonts w:hint="eastAsia" w:hAnsi="宋体"/>
          <w:b/>
          <w:sz w:val="24"/>
          <w:szCs w:val="24"/>
          <w:highlight w:val="none"/>
        </w:rPr>
        <w:t>三、</w:t>
      </w:r>
      <w:bookmarkEnd w:id="80"/>
      <w:bookmarkEnd w:id="81"/>
      <w:r>
        <w:rPr>
          <w:rFonts w:hint="eastAsia" w:hAnsi="宋体"/>
          <w:b/>
          <w:sz w:val="24"/>
          <w:szCs w:val="24"/>
          <w:highlight w:val="none"/>
        </w:rPr>
        <w:t>技术服务要求：</w:t>
      </w:r>
      <w:bookmarkEnd w:id="82"/>
    </w:p>
    <w:p w14:paraId="18446736">
      <w:pPr>
        <w:pStyle w:val="23"/>
        <w:spacing w:line="360" w:lineRule="auto"/>
        <w:ind w:firstLine="482"/>
        <w:outlineLvl w:val="1"/>
        <w:rPr>
          <w:rFonts w:hint="eastAsia" w:hAnsi="宋体"/>
          <w:sz w:val="24"/>
          <w:szCs w:val="24"/>
          <w:highlight w:val="none"/>
          <w:lang w:val="en-US" w:eastAsia="zh-CN"/>
        </w:rPr>
      </w:pPr>
      <w:r>
        <w:rPr>
          <w:rFonts w:hint="eastAsia" w:hAnsi="宋体"/>
          <w:sz w:val="24"/>
          <w:szCs w:val="24"/>
          <w:highlight w:val="none"/>
          <w:lang w:val="en-US" w:eastAsia="zh-CN"/>
        </w:rPr>
        <w:t>1、系统目标</w:t>
      </w:r>
    </w:p>
    <w:p w14:paraId="72D7F08F">
      <w:pPr>
        <w:pStyle w:val="23"/>
        <w:spacing w:line="360" w:lineRule="auto"/>
        <w:ind w:firstLine="482"/>
        <w:outlineLvl w:val="1"/>
        <w:rPr>
          <w:rFonts w:hint="default" w:hAnsi="宋体"/>
          <w:sz w:val="24"/>
          <w:szCs w:val="24"/>
          <w:highlight w:val="none"/>
          <w:lang w:val="en-US" w:eastAsia="zh-CN"/>
        </w:rPr>
      </w:pPr>
      <w:r>
        <w:rPr>
          <w:rFonts w:hint="default" w:hAnsi="宋体"/>
          <w:sz w:val="24"/>
          <w:szCs w:val="24"/>
          <w:highlight w:val="none"/>
          <w:lang w:val="en-US" w:eastAsia="zh-CN"/>
        </w:rPr>
        <w:t>通过计算机软件的管理，实现信息全面共享，提高工作效率，达到体检中心的信息化管理。实现职业健康监护管理及普通健康管理通用化、专业化。支持职业健康监护管理的需要；支持职业健康监护规范化；提高职业健康监护信息处理效率，通过智能化接口减少人工录入错误。</w:t>
      </w:r>
    </w:p>
    <w:p w14:paraId="5886AD76">
      <w:pPr>
        <w:pStyle w:val="23"/>
        <w:spacing w:line="360" w:lineRule="auto"/>
        <w:ind w:firstLine="482"/>
        <w:outlineLvl w:val="1"/>
        <w:rPr>
          <w:rFonts w:hint="eastAsia" w:hAnsi="宋体"/>
          <w:sz w:val="24"/>
          <w:szCs w:val="24"/>
          <w:highlight w:val="none"/>
          <w:lang w:val="en-US" w:eastAsia="zh-CN"/>
        </w:rPr>
      </w:pPr>
      <w:r>
        <w:rPr>
          <w:rFonts w:hint="eastAsia" w:hAnsi="宋体"/>
          <w:sz w:val="24"/>
          <w:szCs w:val="24"/>
          <w:highlight w:val="none"/>
          <w:lang w:val="en-US" w:eastAsia="zh-CN"/>
        </w:rPr>
        <w:t>2、运行环境要求</w:t>
      </w:r>
      <w:r>
        <w:rPr>
          <w:rFonts w:hint="eastAsia" w:hAnsi="宋体"/>
          <w:sz w:val="24"/>
          <w:szCs w:val="24"/>
          <w:highlight w:val="none"/>
          <w:lang w:val="en-US" w:eastAsia="zh-CN"/>
        </w:rPr>
        <w:cr/>
      </w:r>
      <w:r>
        <w:rPr>
          <w:rFonts w:hint="eastAsia" w:hAnsi="宋体"/>
          <w:sz w:val="24"/>
          <w:szCs w:val="24"/>
          <w:highlight w:val="none"/>
          <w:lang w:val="en-US" w:eastAsia="zh-CN"/>
        </w:rPr>
        <w:tab/>
      </w:r>
      <w:r>
        <w:rPr>
          <w:rFonts w:hint="eastAsia" w:hAnsi="宋体"/>
          <w:sz w:val="24"/>
          <w:szCs w:val="24"/>
          <w:highlight w:val="none"/>
          <w:lang w:val="en-US" w:eastAsia="zh-CN"/>
        </w:rPr>
        <w:t>(1)数据库:基于国家信创政策改造要求，需支持国产数据库，如国家信创目录上翰高、达梦、人大金仓等，还需兼容主流数据库，包括 MS SQL SERVER、ORACLE、DB2 等的最新或较新的版本，需提供与国产数据库（至少两款）的适配证明或承诺函（格式自拟）。</w:t>
      </w:r>
      <w:r>
        <w:rPr>
          <w:rFonts w:hint="eastAsia" w:hAnsi="宋体"/>
          <w:sz w:val="24"/>
          <w:szCs w:val="24"/>
          <w:highlight w:val="none"/>
          <w:lang w:val="en-US" w:eastAsia="zh-CN"/>
        </w:rPr>
        <w:cr/>
      </w:r>
      <w:r>
        <w:rPr>
          <w:rFonts w:hint="eastAsia" w:hAnsi="宋体"/>
          <w:sz w:val="24"/>
          <w:szCs w:val="24"/>
          <w:highlight w:val="none"/>
          <w:lang w:val="en-US" w:eastAsia="zh-CN"/>
        </w:rPr>
        <w:tab/>
      </w:r>
      <w:r>
        <w:rPr>
          <w:rFonts w:hint="eastAsia" w:hAnsi="宋体"/>
          <w:sz w:val="24"/>
          <w:szCs w:val="24"/>
          <w:highlight w:val="none"/>
          <w:lang w:val="en-US" w:eastAsia="zh-CN"/>
        </w:rPr>
        <w:t>(2)操作系统:基于国家信创政策改造要求，需支持至少两款国产操作系统，如国家信创目录上麒麟鲲鹏、华为-鲲鹏展翅、统信等，还需支持主流服务器操作系统，包括WINDOWS、UNIX，LINUX等的最新或较新的版本外，请提供与国产化操作系统(至少两款)的适配证明或承诺函（格式自拟）。</w:t>
      </w:r>
    </w:p>
    <w:p w14:paraId="26FE1D28">
      <w:pPr>
        <w:pStyle w:val="23"/>
        <w:spacing w:line="360" w:lineRule="auto"/>
        <w:ind w:firstLine="482"/>
        <w:outlineLvl w:val="1"/>
        <w:rPr>
          <w:rFonts w:hint="eastAsia" w:hAnsi="宋体"/>
          <w:sz w:val="24"/>
          <w:szCs w:val="24"/>
          <w:highlight w:val="none"/>
          <w:lang w:val="en-US" w:eastAsia="zh-CN"/>
        </w:rPr>
      </w:pPr>
      <w:r>
        <w:rPr>
          <w:rFonts w:hint="eastAsia" w:hAnsi="宋体"/>
          <w:sz w:val="24"/>
          <w:szCs w:val="24"/>
          <w:highlight w:val="none"/>
          <w:lang w:val="en-US" w:eastAsia="zh-CN"/>
        </w:rPr>
        <w:t>3、系统技术参数</w:t>
      </w:r>
    </w:p>
    <w:tbl>
      <w:tblPr>
        <w:tblStyle w:val="42"/>
        <w:tblW w:w="94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80"/>
        <w:gridCol w:w="7960"/>
      </w:tblGrid>
      <w:tr w14:paraId="396ED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14:paraId="56F1BD5C">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模块</w:t>
            </w:r>
          </w:p>
        </w:tc>
        <w:tc>
          <w:tcPr>
            <w:tcW w:w="7960" w:type="dxa"/>
            <w:tcBorders>
              <w:top w:val="single" w:color="auto" w:sz="4" w:space="0"/>
              <w:left w:val="nil"/>
              <w:bottom w:val="single" w:color="auto" w:sz="4" w:space="0"/>
              <w:right w:val="single" w:color="auto" w:sz="4" w:space="0"/>
            </w:tcBorders>
            <w:shd w:val="clear" w:color="auto" w:fill="auto"/>
            <w:vAlign w:val="center"/>
          </w:tcPr>
          <w:p w14:paraId="58501B74">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功能</w:t>
            </w:r>
          </w:p>
        </w:tc>
      </w:tr>
      <w:tr w14:paraId="57F53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80" w:type="dxa"/>
            <w:vMerge w:val="restart"/>
            <w:tcBorders>
              <w:top w:val="nil"/>
              <w:left w:val="single" w:color="auto" w:sz="4" w:space="0"/>
              <w:bottom w:val="single" w:color="auto" w:sz="4" w:space="0"/>
              <w:right w:val="single" w:color="auto" w:sz="4" w:space="0"/>
            </w:tcBorders>
            <w:shd w:val="clear" w:color="auto" w:fill="auto"/>
            <w:vAlign w:val="center"/>
          </w:tcPr>
          <w:p w14:paraId="50DAFF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1.接口</w:t>
            </w:r>
          </w:p>
        </w:tc>
        <w:tc>
          <w:tcPr>
            <w:tcW w:w="7960" w:type="dxa"/>
            <w:tcBorders>
              <w:top w:val="nil"/>
              <w:left w:val="nil"/>
              <w:bottom w:val="single" w:color="auto" w:sz="4" w:space="0"/>
              <w:right w:val="single" w:color="auto" w:sz="4" w:space="0"/>
            </w:tcBorders>
            <w:shd w:val="clear" w:color="auto" w:fill="auto"/>
            <w:vAlign w:val="center"/>
          </w:tcPr>
          <w:p w14:paraId="44F40A4A">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★1.1 实时上传职业体检报告、企业信息及危害因素数据至省级职业体检平台</w:t>
            </w:r>
          </w:p>
        </w:tc>
      </w:tr>
      <w:tr w14:paraId="75656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480" w:type="dxa"/>
            <w:vMerge w:val="continue"/>
            <w:tcBorders>
              <w:top w:val="nil"/>
              <w:left w:val="single" w:color="auto" w:sz="4" w:space="0"/>
              <w:bottom w:val="single" w:color="auto" w:sz="4" w:space="0"/>
              <w:right w:val="single" w:color="auto" w:sz="4" w:space="0"/>
            </w:tcBorders>
            <w:shd w:val="clear" w:color="auto" w:fill="auto"/>
            <w:vAlign w:val="center"/>
          </w:tcPr>
          <w:p w14:paraId="256D8178">
            <w:pPr>
              <w:jc w:val="center"/>
              <w:rPr>
                <w:rFonts w:hint="eastAsia" w:ascii="宋体" w:hAnsi="宋体" w:eastAsia="宋体" w:cs="宋体"/>
                <w:i w:val="0"/>
                <w:iCs w:val="0"/>
                <w:color w:val="000000"/>
                <w:sz w:val="22"/>
                <w:szCs w:val="22"/>
                <w:highlight w:val="none"/>
                <w:u w:val="none"/>
              </w:rPr>
            </w:pPr>
          </w:p>
        </w:tc>
        <w:tc>
          <w:tcPr>
            <w:tcW w:w="7960" w:type="dxa"/>
            <w:tcBorders>
              <w:top w:val="nil"/>
              <w:left w:val="nil"/>
              <w:bottom w:val="single" w:color="auto" w:sz="4" w:space="0"/>
              <w:right w:val="single" w:color="auto" w:sz="4" w:space="0"/>
            </w:tcBorders>
            <w:shd w:val="clear" w:color="auto" w:fill="auto"/>
            <w:vAlign w:val="center"/>
          </w:tcPr>
          <w:p w14:paraId="6CCE2A1B">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★1.2 上传体检数据至区域健康档案平台</w:t>
            </w:r>
          </w:p>
        </w:tc>
      </w:tr>
      <w:tr w14:paraId="70470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480" w:type="dxa"/>
            <w:vMerge w:val="continue"/>
            <w:tcBorders>
              <w:top w:val="nil"/>
              <w:left w:val="single" w:color="auto" w:sz="4" w:space="0"/>
              <w:bottom w:val="single" w:color="auto" w:sz="4" w:space="0"/>
              <w:right w:val="single" w:color="auto" w:sz="4" w:space="0"/>
            </w:tcBorders>
            <w:shd w:val="clear" w:color="auto" w:fill="auto"/>
            <w:vAlign w:val="center"/>
          </w:tcPr>
          <w:p w14:paraId="77F6FDB7">
            <w:pPr>
              <w:jc w:val="center"/>
              <w:rPr>
                <w:rFonts w:hint="eastAsia" w:ascii="宋体" w:hAnsi="宋体" w:eastAsia="宋体" w:cs="宋体"/>
                <w:i w:val="0"/>
                <w:iCs w:val="0"/>
                <w:color w:val="000000"/>
                <w:sz w:val="22"/>
                <w:szCs w:val="22"/>
                <w:highlight w:val="none"/>
                <w:u w:val="none"/>
              </w:rPr>
            </w:pPr>
          </w:p>
        </w:tc>
        <w:tc>
          <w:tcPr>
            <w:tcW w:w="7960" w:type="dxa"/>
            <w:tcBorders>
              <w:top w:val="nil"/>
              <w:left w:val="nil"/>
              <w:bottom w:val="single" w:color="auto" w:sz="4" w:space="0"/>
              <w:right w:val="single" w:color="auto" w:sz="4" w:space="0"/>
            </w:tcBorders>
            <w:shd w:val="clear" w:color="auto" w:fill="auto"/>
            <w:vAlign w:val="center"/>
          </w:tcPr>
          <w:p w14:paraId="4D2D05CF">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★1.3 HIS系统互联互通</w:t>
            </w:r>
          </w:p>
        </w:tc>
      </w:tr>
      <w:tr w14:paraId="30BF6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480" w:type="dxa"/>
            <w:vMerge w:val="continue"/>
            <w:tcBorders>
              <w:top w:val="nil"/>
              <w:left w:val="single" w:color="auto" w:sz="4" w:space="0"/>
              <w:bottom w:val="single" w:color="auto" w:sz="4" w:space="0"/>
              <w:right w:val="single" w:color="auto" w:sz="4" w:space="0"/>
            </w:tcBorders>
            <w:shd w:val="clear" w:color="auto" w:fill="auto"/>
            <w:vAlign w:val="center"/>
          </w:tcPr>
          <w:p w14:paraId="78EEEFA1">
            <w:pPr>
              <w:jc w:val="center"/>
              <w:rPr>
                <w:rFonts w:hint="eastAsia" w:ascii="宋体" w:hAnsi="宋体" w:eastAsia="宋体" w:cs="宋体"/>
                <w:i w:val="0"/>
                <w:iCs w:val="0"/>
                <w:color w:val="000000"/>
                <w:sz w:val="22"/>
                <w:szCs w:val="22"/>
                <w:highlight w:val="none"/>
                <w:u w:val="none"/>
              </w:rPr>
            </w:pPr>
          </w:p>
        </w:tc>
        <w:tc>
          <w:tcPr>
            <w:tcW w:w="7960" w:type="dxa"/>
            <w:tcBorders>
              <w:top w:val="nil"/>
              <w:left w:val="nil"/>
              <w:bottom w:val="single" w:color="auto" w:sz="4" w:space="0"/>
              <w:right w:val="single" w:color="auto" w:sz="4" w:space="0"/>
            </w:tcBorders>
            <w:shd w:val="clear" w:color="auto" w:fill="auto"/>
            <w:vAlign w:val="center"/>
          </w:tcPr>
          <w:p w14:paraId="424E7A17">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★1.4 LIS系统互联互通</w:t>
            </w:r>
          </w:p>
        </w:tc>
      </w:tr>
      <w:tr w14:paraId="052A9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480" w:type="dxa"/>
            <w:vMerge w:val="continue"/>
            <w:tcBorders>
              <w:top w:val="nil"/>
              <w:left w:val="single" w:color="auto" w:sz="4" w:space="0"/>
              <w:bottom w:val="single" w:color="auto" w:sz="4" w:space="0"/>
              <w:right w:val="single" w:color="auto" w:sz="4" w:space="0"/>
            </w:tcBorders>
            <w:shd w:val="clear" w:color="auto" w:fill="auto"/>
            <w:vAlign w:val="center"/>
          </w:tcPr>
          <w:p w14:paraId="30101E4F">
            <w:pPr>
              <w:jc w:val="center"/>
              <w:rPr>
                <w:rFonts w:hint="eastAsia" w:ascii="宋体" w:hAnsi="宋体" w:eastAsia="宋体" w:cs="宋体"/>
                <w:i w:val="0"/>
                <w:iCs w:val="0"/>
                <w:color w:val="000000"/>
                <w:sz w:val="22"/>
                <w:szCs w:val="22"/>
                <w:highlight w:val="none"/>
                <w:u w:val="none"/>
              </w:rPr>
            </w:pPr>
          </w:p>
        </w:tc>
        <w:tc>
          <w:tcPr>
            <w:tcW w:w="7960" w:type="dxa"/>
            <w:tcBorders>
              <w:top w:val="nil"/>
              <w:left w:val="nil"/>
              <w:bottom w:val="single" w:color="auto" w:sz="4" w:space="0"/>
              <w:right w:val="single" w:color="auto" w:sz="4" w:space="0"/>
            </w:tcBorders>
            <w:shd w:val="clear" w:color="auto" w:fill="auto"/>
            <w:vAlign w:val="center"/>
          </w:tcPr>
          <w:p w14:paraId="397982B0">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★1.5 PACS系统互联互通</w:t>
            </w:r>
          </w:p>
        </w:tc>
      </w:tr>
      <w:tr w14:paraId="44135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480" w:type="dxa"/>
            <w:vMerge w:val="continue"/>
            <w:tcBorders>
              <w:top w:val="nil"/>
              <w:left w:val="single" w:color="auto" w:sz="4" w:space="0"/>
              <w:bottom w:val="single" w:color="auto" w:sz="4" w:space="0"/>
              <w:right w:val="single" w:color="auto" w:sz="4" w:space="0"/>
            </w:tcBorders>
            <w:shd w:val="clear" w:color="auto" w:fill="auto"/>
            <w:vAlign w:val="center"/>
          </w:tcPr>
          <w:p w14:paraId="31619897">
            <w:pPr>
              <w:jc w:val="center"/>
              <w:rPr>
                <w:rFonts w:hint="eastAsia" w:ascii="宋体" w:hAnsi="宋体" w:eastAsia="宋体" w:cs="宋体"/>
                <w:i w:val="0"/>
                <w:iCs w:val="0"/>
                <w:color w:val="000000"/>
                <w:sz w:val="22"/>
                <w:szCs w:val="22"/>
                <w:highlight w:val="none"/>
                <w:u w:val="none"/>
              </w:rPr>
            </w:pPr>
          </w:p>
        </w:tc>
        <w:tc>
          <w:tcPr>
            <w:tcW w:w="7960" w:type="dxa"/>
            <w:tcBorders>
              <w:top w:val="nil"/>
              <w:left w:val="nil"/>
              <w:bottom w:val="single" w:color="auto" w:sz="4" w:space="0"/>
              <w:right w:val="single" w:color="auto" w:sz="4" w:space="0"/>
            </w:tcBorders>
            <w:shd w:val="clear" w:color="auto" w:fill="auto"/>
            <w:vAlign w:val="center"/>
          </w:tcPr>
          <w:p w14:paraId="0585A0BB">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★1.6 心电图系统互联互通</w:t>
            </w:r>
          </w:p>
        </w:tc>
      </w:tr>
      <w:tr w14:paraId="45BE7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480" w:type="dxa"/>
            <w:vMerge w:val="restart"/>
            <w:tcBorders>
              <w:top w:val="nil"/>
              <w:left w:val="single" w:color="auto" w:sz="4" w:space="0"/>
              <w:bottom w:val="single" w:color="000000" w:sz="4" w:space="0"/>
              <w:right w:val="single" w:color="auto" w:sz="4" w:space="0"/>
            </w:tcBorders>
            <w:shd w:val="clear" w:color="auto" w:fill="auto"/>
            <w:vAlign w:val="center"/>
          </w:tcPr>
          <w:p w14:paraId="1B30CD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2.体检登记</w:t>
            </w:r>
          </w:p>
        </w:tc>
        <w:tc>
          <w:tcPr>
            <w:tcW w:w="7960" w:type="dxa"/>
            <w:tcBorders>
              <w:top w:val="nil"/>
              <w:left w:val="nil"/>
              <w:bottom w:val="single" w:color="auto" w:sz="4" w:space="0"/>
              <w:right w:val="single" w:color="auto" w:sz="4" w:space="0"/>
            </w:tcBorders>
            <w:shd w:val="clear" w:color="auto" w:fill="auto"/>
            <w:vAlign w:val="center"/>
          </w:tcPr>
          <w:p w14:paraId="55ABFD7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 支持通过身份证读卡器读取身份证信息，同时通过身份证号码获取门诊ID</w:t>
            </w:r>
          </w:p>
        </w:tc>
      </w:tr>
      <w:tr w14:paraId="479FC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80" w:type="dxa"/>
            <w:vMerge w:val="continue"/>
            <w:tcBorders>
              <w:top w:val="nil"/>
              <w:left w:val="single" w:color="auto" w:sz="4" w:space="0"/>
              <w:bottom w:val="single" w:color="000000" w:sz="4" w:space="0"/>
              <w:right w:val="single" w:color="auto" w:sz="4" w:space="0"/>
            </w:tcBorders>
            <w:shd w:val="clear" w:color="auto" w:fill="auto"/>
            <w:vAlign w:val="center"/>
          </w:tcPr>
          <w:p w14:paraId="1F50FE36">
            <w:pPr>
              <w:jc w:val="center"/>
              <w:rPr>
                <w:rFonts w:hint="eastAsia" w:ascii="宋体" w:hAnsi="宋体" w:eastAsia="宋体" w:cs="宋体"/>
                <w:i w:val="0"/>
                <w:iCs w:val="0"/>
                <w:color w:val="000000"/>
                <w:sz w:val="22"/>
                <w:szCs w:val="22"/>
                <w:highlight w:val="none"/>
                <w:u w:val="none"/>
              </w:rPr>
            </w:pPr>
          </w:p>
        </w:tc>
        <w:tc>
          <w:tcPr>
            <w:tcW w:w="7960" w:type="dxa"/>
            <w:tcBorders>
              <w:top w:val="nil"/>
              <w:left w:val="nil"/>
              <w:bottom w:val="single" w:color="auto" w:sz="4" w:space="0"/>
              <w:right w:val="single" w:color="auto" w:sz="4" w:space="0"/>
            </w:tcBorders>
            <w:shd w:val="clear" w:color="auto" w:fill="auto"/>
            <w:vAlign w:val="center"/>
          </w:tcPr>
          <w:p w14:paraId="22E57F8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 支持通过姓名、体检号、证件号作为条件查询出体检者信息；登记从业健康体检时可记录工种，并能够方便的查询</w:t>
            </w:r>
          </w:p>
        </w:tc>
      </w:tr>
      <w:tr w14:paraId="48B21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80" w:type="dxa"/>
            <w:vMerge w:val="continue"/>
            <w:tcBorders>
              <w:top w:val="nil"/>
              <w:left w:val="single" w:color="auto" w:sz="4" w:space="0"/>
              <w:bottom w:val="single" w:color="000000" w:sz="4" w:space="0"/>
              <w:right w:val="single" w:color="auto" w:sz="4" w:space="0"/>
            </w:tcBorders>
            <w:shd w:val="clear" w:color="auto" w:fill="auto"/>
            <w:vAlign w:val="center"/>
          </w:tcPr>
          <w:p w14:paraId="09D69BFC">
            <w:pPr>
              <w:jc w:val="center"/>
              <w:rPr>
                <w:rFonts w:hint="eastAsia" w:ascii="宋体" w:hAnsi="宋体" w:eastAsia="宋体" w:cs="宋体"/>
                <w:i w:val="0"/>
                <w:iCs w:val="0"/>
                <w:color w:val="000000"/>
                <w:sz w:val="22"/>
                <w:szCs w:val="22"/>
                <w:highlight w:val="none"/>
                <w:u w:val="none"/>
              </w:rPr>
            </w:pPr>
          </w:p>
        </w:tc>
        <w:tc>
          <w:tcPr>
            <w:tcW w:w="7960" w:type="dxa"/>
            <w:tcBorders>
              <w:top w:val="nil"/>
              <w:left w:val="nil"/>
              <w:bottom w:val="single" w:color="auto" w:sz="4" w:space="0"/>
              <w:right w:val="single" w:color="auto" w:sz="4" w:space="0"/>
            </w:tcBorders>
            <w:shd w:val="clear" w:color="auto" w:fill="auto"/>
            <w:vAlign w:val="center"/>
          </w:tcPr>
          <w:p w14:paraId="6BC6825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 支持现场照相功能，可设置拍照区域；现场采集相片，相片可在体检系统登记界面上显示，便于防止体检时冒名顶替现象</w:t>
            </w:r>
          </w:p>
        </w:tc>
      </w:tr>
      <w:tr w14:paraId="5837D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480" w:type="dxa"/>
            <w:vMerge w:val="continue"/>
            <w:tcBorders>
              <w:top w:val="nil"/>
              <w:left w:val="single" w:color="auto" w:sz="4" w:space="0"/>
              <w:bottom w:val="single" w:color="000000" w:sz="4" w:space="0"/>
              <w:right w:val="single" w:color="auto" w:sz="4" w:space="0"/>
            </w:tcBorders>
            <w:shd w:val="clear" w:color="auto" w:fill="auto"/>
            <w:vAlign w:val="center"/>
          </w:tcPr>
          <w:p w14:paraId="31FEE815">
            <w:pPr>
              <w:jc w:val="center"/>
              <w:rPr>
                <w:rFonts w:hint="eastAsia" w:ascii="宋体" w:hAnsi="宋体" w:eastAsia="宋体" w:cs="宋体"/>
                <w:i w:val="0"/>
                <w:iCs w:val="0"/>
                <w:color w:val="000000"/>
                <w:sz w:val="22"/>
                <w:szCs w:val="22"/>
                <w:highlight w:val="none"/>
                <w:u w:val="none"/>
              </w:rPr>
            </w:pPr>
          </w:p>
        </w:tc>
        <w:tc>
          <w:tcPr>
            <w:tcW w:w="7960" w:type="dxa"/>
            <w:tcBorders>
              <w:top w:val="nil"/>
              <w:left w:val="nil"/>
              <w:bottom w:val="single" w:color="auto" w:sz="4" w:space="0"/>
              <w:right w:val="single" w:color="auto" w:sz="4" w:space="0"/>
            </w:tcBorders>
            <w:shd w:val="clear" w:color="auto" w:fill="auto"/>
            <w:vAlign w:val="center"/>
          </w:tcPr>
          <w:p w14:paraId="204BA8A1">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▲2.4 选择套餐或项目并可设置优惠，自动计算费用并显示</w:t>
            </w:r>
          </w:p>
        </w:tc>
      </w:tr>
      <w:tr w14:paraId="51038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480" w:type="dxa"/>
            <w:vMerge w:val="continue"/>
            <w:tcBorders>
              <w:top w:val="nil"/>
              <w:left w:val="single" w:color="auto" w:sz="4" w:space="0"/>
              <w:bottom w:val="single" w:color="000000" w:sz="4" w:space="0"/>
              <w:right w:val="single" w:color="auto" w:sz="4" w:space="0"/>
            </w:tcBorders>
            <w:shd w:val="clear" w:color="auto" w:fill="auto"/>
            <w:vAlign w:val="center"/>
          </w:tcPr>
          <w:p w14:paraId="03696D51">
            <w:pPr>
              <w:jc w:val="center"/>
              <w:rPr>
                <w:rFonts w:hint="eastAsia" w:ascii="宋体" w:hAnsi="宋体" w:eastAsia="宋体" w:cs="宋体"/>
                <w:i w:val="0"/>
                <w:iCs w:val="0"/>
                <w:color w:val="000000"/>
                <w:sz w:val="22"/>
                <w:szCs w:val="22"/>
                <w:highlight w:val="none"/>
                <w:u w:val="none"/>
              </w:rPr>
            </w:pPr>
          </w:p>
        </w:tc>
        <w:tc>
          <w:tcPr>
            <w:tcW w:w="7960" w:type="dxa"/>
            <w:tcBorders>
              <w:top w:val="nil"/>
              <w:left w:val="nil"/>
              <w:bottom w:val="single" w:color="auto" w:sz="4" w:space="0"/>
              <w:right w:val="single" w:color="auto" w:sz="4" w:space="0"/>
            </w:tcBorders>
            <w:shd w:val="clear" w:color="auto" w:fill="auto"/>
            <w:vAlign w:val="center"/>
          </w:tcPr>
          <w:p w14:paraId="0FCDA26C">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▲2.5 选择套餐后可增减检查项目及设置优惠</w:t>
            </w:r>
          </w:p>
        </w:tc>
      </w:tr>
      <w:tr w14:paraId="685DC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480" w:type="dxa"/>
            <w:vMerge w:val="continue"/>
            <w:tcBorders>
              <w:top w:val="nil"/>
              <w:left w:val="single" w:color="auto" w:sz="4" w:space="0"/>
              <w:bottom w:val="single" w:color="000000" w:sz="4" w:space="0"/>
              <w:right w:val="single" w:color="auto" w:sz="4" w:space="0"/>
            </w:tcBorders>
            <w:shd w:val="clear" w:color="auto" w:fill="auto"/>
            <w:vAlign w:val="center"/>
          </w:tcPr>
          <w:p w14:paraId="055D4ECC">
            <w:pPr>
              <w:jc w:val="center"/>
              <w:rPr>
                <w:rFonts w:hint="eastAsia" w:ascii="宋体" w:hAnsi="宋体" w:eastAsia="宋体" w:cs="宋体"/>
                <w:i w:val="0"/>
                <w:iCs w:val="0"/>
                <w:color w:val="000000"/>
                <w:sz w:val="22"/>
                <w:szCs w:val="22"/>
                <w:highlight w:val="none"/>
                <w:u w:val="none"/>
              </w:rPr>
            </w:pPr>
          </w:p>
        </w:tc>
        <w:tc>
          <w:tcPr>
            <w:tcW w:w="7960" w:type="dxa"/>
            <w:tcBorders>
              <w:top w:val="nil"/>
              <w:left w:val="nil"/>
              <w:bottom w:val="single" w:color="auto" w:sz="4" w:space="0"/>
              <w:right w:val="single" w:color="auto" w:sz="4" w:space="0"/>
            </w:tcBorders>
            <w:shd w:val="clear" w:color="auto" w:fill="auto"/>
            <w:vAlign w:val="center"/>
          </w:tcPr>
          <w:p w14:paraId="0FC2128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 报告自动生成（含异常指标提示）</w:t>
            </w:r>
          </w:p>
        </w:tc>
      </w:tr>
      <w:tr w14:paraId="7771A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480" w:type="dxa"/>
            <w:vMerge w:val="continue"/>
            <w:tcBorders>
              <w:top w:val="nil"/>
              <w:left w:val="single" w:color="auto" w:sz="4" w:space="0"/>
              <w:bottom w:val="single" w:color="000000" w:sz="4" w:space="0"/>
              <w:right w:val="single" w:color="auto" w:sz="4" w:space="0"/>
            </w:tcBorders>
            <w:shd w:val="clear" w:color="auto" w:fill="auto"/>
            <w:vAlign w:val="center"/>
          </w:tcPr>
          <w:p w14:paraId="1193B0A0">
            <w:pPr>
              <w:jc w:val="center"/>
              <w:rPr>
                <w:rFonts w:hint="eastAsia" w:ascii="宋体" w:hAnsi="宋体" w:eastAsia="宋体" w:cs="宋体"/>
                <w:i w:val="0"/>
                <w:iCs w:val="0"/>
                <w:color w:val="000000"/>
                <w:sz w:val="22"/>
                <w:szCs w:val="22"/>
                <w:highlight w:val="none"/>
                <w:u w:val="none"/>
              </w:rPr>
            </w:pPr>
          </w:p>
        </w:tc>
        <w:tc>
          <w:tcPr>
            <w:tcW w:w="7960" w:type="dxa"/>
            <w:tcBorders>
              <w:top w:val="nil"/>
              <w:left w:val="nil"/>
              <w:bottom w:val="single" w:color="auto" w:sz="4" w:space="0"/>
              <w:right w:val="single" w:color="auto" w:sz="4" w:space="0"/>
            </w:tcBorders>
            <w:shd w:val="clear" w:color="auto" w:fill="auto"/>
            <w:vAlign w:val="center"/>
          </w:tcPr>
          <w:p w14:paraId="1361CDD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2.7电子签名归档</w:t>
            </w:r>
          </w:p>
        </w:tc>
      </w:tr>
      <w:tr w14:paraId="0B79E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480" w:type="dxa"/>
            <w:vMerge w:val="continue"/>
            <w:tcBorders>
              <w:top w:val="nil"/>
              <w:left w:val="single" w:color="auto" w:sz="4" w:space="0"/>
              <w:bottom w:val="single" w:color="000000" w:sz="4" w:space="0"/>
              <w:right w:val="single" w:color="auto" w:sz="4" w:space="0"/>
            </w:tcBorders>
            <w:shd w:val="clear" w:color="auto" w:fill="auto"/>
            <w:vAlign w:val="center"/>
          </w:tcPr>
          <w:p w14:paraId="532DE8AA">
            <w:pPr>
              <w:jc w:val="center"/>
              <w:rPr>
                <w:rFonts w:hint="eastAsia" w:ascii="宋体" w:hAnsi="宋体" w:eastAsia="宋体" w:cs="宋体"/>
                <w:i w:val="0"/>
                <w:iCs w:val="0"/>
                <w:color w:val="000000"/>
                <w:sz w:val="22"/>
                <w:szCs w:val="22"/>
                <w:highlight w:val="none"/>
                <w:u w:val="none"/>
              </w:rPr>
            </w:pPr>
          </w:p>
        </w:tc>
        <w:tc>
          <w:tcPr>
            <w:tcW w:w="7960" w:type="dxa"/>
            <w:tcBorders>
              <w:top w:val="nil"/>
              <w:left w:val="nil"/>
              <w:bottom w:val="single" w:color="auto" w:sz="4" w:space="0"/>
              <w:right w:val="single" w:color="auto" w:sz="4" w:space="0"/>
            </w:tcBorders>
            <w:shd w:val="clear" w:color="auto" w:fill="auto"/>
            <w:vAlign w:val="center"/>
          </w:tcPr>
          <w:p w14:paraId="1E30942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2.8支持打印缴费单、体检指引单、条码标签、申请单单据、费用清单等</w:t>
            </w:r>
          </w:p>
        </w:tc>
      </w:tr>
      <w:tr w14:paraId="01038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480" w:type="dxa"/>
            <w:vMerge w:val="continue"/>
            <w:tcBorders>
              <w:top w:val="nil"/>
              <w:left w:val="single" w:color="auto" w:sz="4" w:space="0"/>
              <w:bottom w:val="single" w:color="000000" w:sz="4" w:space="0"/>
              <w:right w:val="single" w:color="auto" w:sz="4" w:space="0"/>
            </w:tcBorders>
            <w:shd w:val="clear" w:color="auto" w:fill="auto"/>
            <w:vAlign w:val="center"/>
          </w:tcPr>
          <w:p w14:paraId="6D97DC3F">
            <w:pPr>
              <w:jc w:val="center"/>
              <w:rPr>
                <w:rFonts w:hint="eastAsia" w:ascii="宋体" w:hAnsi="宋体" w:eastAsia="宋体" w:cs="宋体"/>
                <w:i w:val="0"/>
                <w:iCs w:val="0"/>
                <w:color w:val="000000"/>
                <w:sz w:val="22"/>
                <w:szCs w:val="22"/>
                <w:highlight w:val="none"/>
                <w:u w:val="none"/>
              </w:rPr>
            </w:pPr>
          </w:p>
        </w:tc>
        <w:tc>
          <w:tcPr>
            <w:tcW w:w="7960" w:type="dxa"/>
            <w:tcBorders>
              <w:top w:val="nil"/>
              <w:left w:val="nil"/>
              <w:bottom w:val="single" w:color="auto" w:sz="4" w:space="0"/>
              <w:right w:val="single" w:color="auto" w:sz="4" w:space="0"/>
            </w:tcBorders>
            <w:shd w:val="clear" w:color="auto" w:fill="auto"/>
            <w:vAlign w:val="center"/>
          </w:tcPr>
          <w:p w14:paraId="3EEDA3F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2.9系统自动带出相关打印的内容，样式可通过系统自带的设计器生成</w:t>
            </w:r>
          </w:p>
        </w:tc>
      </w:tr>
      <w:tr w14:paraId="14CD8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480" w:type="dxa"/>
            <w:vMerge w:val="restart"/>
            <w:tcBorders>
              <w:top w:val="nil"/>
              <w:left w:val="single" w:color="auto" w:sz="4" w:space="0"/>
              <w:bottom w:val="single" w:color="auto" w:sz="4" w:space="0"/>
              <w:right w:val="single" w:color="auto" w:sz="4" w:space="0"/>
            </w:tcBorders>
            <w:shd w:val="clear" w:color="auto" w:fill="auto"/>
            <w:vAlign w:val="center"/>
          </w:tcPr>
          <w:p w14:paraId="19C0B2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3.职业健康体检</w:t>
            </w:r>
          </w:p>
        </w:tc>
        <w:tc>
          <w:tcPr>
            <w:tcW w:w="7960" w:type="dxa"/>
            <w:tcBorders>
              <w:top w:val="nil"/>
              <w:left w:val="nil"/>
              <w:bottom w:val="single" w:color="auto" w:sz="4" w:space="0"/>
              <w:right w:val="single" w:color="auto" w:sz="4" w:space="0"/>
            </w:tcBorders>
            <w:shd w:val="clear" w:color="auto" w:fill="auto"/>
            <w:vAlign w:val="center"/>
          </w:tcPr>
          <w:p w14:paraId="6898F2BA">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▲3.1 根据从事行业及接触种类自动匹配必检项目</w:t>
            </w:r>
          </w:p>
        </w:tc>
      </w:tr>
      <w:tr w14:paraId="35FFB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80" w:type="dxa"/>
            <w:vMerge w:val="continue"/>
            <w:tcBorders>
              <w:top w:val="nil"/>
              <w:left w:val="single" w:color="auto" w:sz="4" w:space="0"/>
              <w:bottom w:val="single" w:color="auto" w:sz="4" w:space="0"/>
              <w:right w:val="single" w:color="auto" w:sz="4" w:space="0"/>
            </w:tcBorders>
            <w:shd w:val="clear" w:color="auto" w:fill="auto"/>
            <w:vAlign w:val="center"/>
          </w:tcPr>
          <w:p w14:paraId="4CE917E6">
            <w:pPr>
              <w:jc w:val="center"/>
              <w:rPr>
                <w:rFonts w:hint="eastAsia" w:ascii="宋体" w:hAnsi="宋体" w:eastAsia="宋体" w:cs="宋体"/>
                <w:i w:val="0"/>
                <w:iCs w:val="0"/>
                <w:color w:val="000000"/>
                <w:sz w:val="22"/>
                <w:szCs w:val="22"/>
                <w:highlight w:val="none"/>
                <w:u w:val="none"/>
              </w:rPr>
            </w:pPr>
          </w:p>
        </w:tc>
        <w:tc>
          <w:tcPr>
            <w:tcW w:w="7960" w:type="dxa"/>
            <w:tcBorders>
              <w:top w:val="nil"/>
              <w:left w:val="nil"/>
              <w:bottom w:val="single" w:color="auto" w:sz="4" w:space="0"/>
              <w:right w:val="single" w:color="auto" w:sz="4" w:space="0"/>
            </w:tcBorders>
            <w:shd w:val="clear" w:color="auto" w:fill="auto"/>
            <w:vAlign w:val="center"/>
          </w:tcPr>
          <w:p w14:paraId="02A34D15">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▲3.2 对接企业职业病危害因素库，支持录入危害因素自动带出对应套餐项目，并会自动过滤重复项目</w:t>
            </w:r>
          </w:p>
        </w:tc>
      </w:tr>
      <w:tr w14:paraId="670B5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480" w:type="dxa"/>
            <w:vMerge w:val="continue"/>
            <w:tcBorders>
              <w:top w:val="nil"/>
              <w:left w:val="single" w:color="auto" w:sz="4" w:space="0"/>
              <w:bottom w:val="single" w:color="auto" w:sz="4" w:space="0"/>
              <w:right w:val="single" w:color="auto" w:sz="4" w:space="0"/>
            </w:tcBorders>
            <w:shd w:val="clear" w:color="auto" w:fill="auto"/>
            <w:vAlign w:val="center"/>
          </w:tcPr>
          <w:p w14:paraId="6EDB42D5">
            <w:pPr>
              <w:jc w:val="center"/>
              <w:rPr>
                <w:rFonts w:hint="eastAsia" w:ascii="宋体" w:hAnsi="宋体" w:eastAsia="宋体" w:cs="宋体"/>
                <w:i w:val="0"/>
                <w:iCs w:val="0"/>
                <w:color w:val="000000"/>
                <w:sz w:val="22"/>
                <w:szCs w:val="22"/>
                <w:highlight w:val="none"/>
                <w:u w:val="none"/>
              </w:rPr>
            </w:pPr>
          </w:p>
        </w:tc>
        <w:tc>
          <w:tcPr>
            <w:tcW w:w="7960" w:type="dxa"/>
            <w:tcBorders>
              <w:top w:val="nil"/>
              <w:left w:val="nil"/>
              <w:bottom w:val="single" w:color="auto" w:sz="4" w:space="0"/>
              <w:right w:val="single" w:color="auto" w:sz="4" w:space="0"/>
            </w:tcBorders>
            <w:shd w:val="clear" w:color="auto" w:fill="auto"/>
            <w:vAlign w:val="center"/>
          </w:tcPr>
          <w:p w14:paraId="6C6B07AE">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▲3.3 生成职业体检报告并推送至‌省级职业体检平台</w:t>
            </w:r>
          </w:p>
        </w:tc>
      </w:tr>
      <w:tr w14:paraId="2D3E4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80" w:type="dxa"/>
            <w:vMerge w:val="continue"/>
            <w:tcBorders>
              <w:top w:val="nil"/>
              <w:left w:val="single" w:color="auto" w:sz="4" w:space="0"/>
              <w:bottom w:val="single" w:color="auto" w:sz="4" w:space="0"/>
              <w:right w:val="single" w:color="auto" w:sz="4" w:space="0"/>
            </w:tcBorders>
            <w:shd w:val="clear" w:color="auto" w:fill="auto"/>
            <w:vAlign w:val="center"/>
          </w:tcPr>
          <w:p w14:paraId="7D1B329E">
            <w:pPr>
              <w:jc w:val="center"/>
              <w:rPr>
                <w:rFonts w:hint="eastAsia" w:ascii="宋体" w:hAnsi="宋体" w:eastAsia="宋体" w:cs="宋体"/>
                <w:i w:val="0"/>
                <w:iCs w:val="0"/>
                <w:color w:val="000000"/>
                <w:sz w:val="22"/>
                <w:szCs w:val="22"/>
                <w:highlight w:val="none"/>
                <w:u w:val="none"/>
              </w:rPr>
            </w:pPr>
          </w:p>
        </w:tc>
        <w:tc>
          <w:tcPr>
            <w:tcW w:w="7960" w:type="dxa"/>
            <w:tcBorders>
              <w:top w:val="nil"/>
              <w:left w:val="nil"/>
              <w:bottom w:val="single" w:color="auto" w:sz="4" w:space="0"/>
              <w:right w:val="single" w:color="auto" w:sz="4" w:space="0"/>
            </w:tcBorders>
            <w:shd w:val="clear" w:color="auto" w:fill="auto"/>
            <w:vAlign w:val="center"/>
          </w:tcPr>
          <w:p w14:paraId="50E48F6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 可通过高拍仪或扫描仪来保存企业或个人资料，并入档案，在打印报告时可以统一一起打印。</w:t>
            </w:r>
          </w:p>
        </w:tc>
      </w:tr>
      <w:tr w14:paraId="4057C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480" w:type="dxa"/>
            <w:vMerge w:val="restart"/>
            <w:tcBorders>
              <w:top w:val="nil"/>
              <w:left w:val="single" w:color="auto" w:sz="4" w:space="0"/>
              <w:bottom w:val="single" w:color="auto" w:sz="4" w:space="0"/>
              <w:right w:val="single" w:color="auto" w:sz="4" w:space="0"/>
            </w:tcBorders>
            <w:shd w:val="clear" w:color="auto" w:fill="auto"/>
            <w:vAlign w:val="center"/>
          </w:tcPr>
          <w:p w14:paraId="3D4E51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4.健康证管理</w:t>
            </w:r>
          </w:p>
        </w:tc>
        <w:tc>
          <w:tcPr>
            <w:tcW w:w="7960" w:type="dxa"/>
            <w:tcBorders>
              <w:top w:val="nil"/>
              <w:left w:val="nil"/>
              <w:bottom w:val="single" w:color="auto" w:sz="4" w:space="0"/>
              <w:right w:val="single" w:color="auto" w:sz="4" w:space="0"/>
            </w:tcBorders>
            <w:shd w:val="clear" w:color="auto" w:fill="auto"/>
            <w:vAlign w:val="center"/>
          </w:tcPr>
          <w:p w14:paraId="59B3DC48">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▲4.1 自动核验从业人员信息</w:t>
            </w:r>
          </w:p>
        </w:tc>
      </w:tr>
      <w:tr w14:paraId="55256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480" w:type="dxa"/>
            <w:vMerge w:val="continue"/>
            <w:tcBorders>
              <w:top w:val="nil"/>
              <w:left w:val="single" w:color="auto" w:sz="4" w:space="0"/>
              <w:bottom w:val="single" w:color="auto" w:sz="4" w:space="0"/>
              <w:right w:val="single" w:color="auto" w:sz="4" w:space="0"/>
            </w:tcBorders>
            <w:shd w:val="clear" w:color="auto" w:fill="auto"/>
            <w:vAlign w:val="center"/>
          </w:tcPr>
          <w:p w14:paraId="6D01233B">
            <w:pPr>
              <w:jc w:val="center"/>
              <w:rPr>
                <w:rFonts w:hint="eastAsia" w:ascii="宋体" w:hAnsi="宋体" w:eastAsia="宋体" w:cs="宋体"/>
                <w:i w:val="0"/>
                <w:iCs w:val="0"/>
                <w:color w:val="000000"/>
                <w:sz w:val="22"/>
                <w:szCs w:val="22"/>
                <w:highlight w:val="none"/>
                <w:u w:val="none"/>
              </w:rPr>
            </w:pPr>
          </w:p>
        </w:tc>
        <w:tc>
          <w:tcPr>
            <w:tcW w:w="7960" w:type="dxa"/>
            <w:tcBorders>
              <w:top w:val="nil"/>
              <w:left w:val="nil"/>
              <w:bottom w:val="single" w:color="auto" w:sz="4" w:space="0"/>
              <w:right w:val="single" w:color="auto" w:sz="4" w:space="0"/>
            </w:tcBorders>
            <w:shd w:val="clear" w:color="auto" w:fill="auto"/>
            <w:vAlign w:val="center"/>
          </w:tcPr>
          <w:p w14:paraId="7913EDA2">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▲4.2 审核通过后同步数据至‌健康证平台</w:t>
            </w:r>
          </w:p>
        </w:tc>
      </w:tr>
      <w:tr w14:paraId="36A82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480" w:type="dxa"/>
            <w:vMerge w:val="continue"/>
            <w:tcBorders>
              <w:top w:val="nil"/>
              <w:left w:val="single" w:color="auto" w:sz="4" w:space="0"/>
              <w:bottom w:val="single" w:color="auto" w:sz="4" w:space="0"/>
              <w:right w:val="single" w:color="auto" w:sz="4" w:space="0"/>
            </w:tcBorders>
            <w:shd w:val="clear" w:color="auto" w:fill="auto"/>
            <w:vAlign w:val="center"/>
          </w:tcPr>
          <w:p w14:paraId="3D83F421">
            <w:pPr>
              <w:jc w:val="center"/>
              <w:rPr>
                <w:rFonts w:hint="eastAsia" w:ascii="宋体" w:hAnsi="宋体" w:eastAsia="宋体" w:cs="宋体"/>
                <w:i w:val="0"/>
                <w:iCs w:val="0"/>
                <w:color w:val="000000"/>
                <w:sz w:val="22"/>
                <w:szCs w:val="22"/>
                <w:highlight w:val="none"/>
                <w:u w:val="none"/>
              </w:rPr>
            </w:pPr>
          </w:p>
        </w:tc>
        <w:tc>
          <w:tcPr>
            <w:tcW w:w="7960" w:type="dxa"/>
            <w:tcBorders>
              <w:top w:val="nil"/>
              <w:left w:val="nil"/>
              <w:bottom w:val="single" w:color="auto" w:sz="4" w:space="0"/>
              <w:right w:val="single" w:color="auto" w:sz="4" w:space="0"/>
            </w:tcBorders>
            <w:shd w:val="clear" w:color="auto" w:fill="auto"/>
            <w:vAlign w:val="center"/>
          </w:tcPr>
          <w:p w14:paraId="24A1BA29">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▲4.3 支持电子健康证打印</w:t>
            </w:r>
          </w:p>
        </w:tc>
      </w:tr>
      <w:tr w14:paraId="7C488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480" w:type="dxa"/>
            <w:tcBorders>
              <w:top w:val="nil"/>
              <w:left w:val="single" w:color="auto" w:sz="4" w:space="0"/>
              <w:bottom w:val="single" w:color="auto" w:sz="4" w:space="0"/>
              <w:right w:val="single" w:color="auto" w:sz="4" w:space="0"/>
            </w:tcBorders>
            <w:shd w:val="clear" w:color="auto" w:fill="auto"/>
            <w:vAlign w:val="center"/>
          </w:tcPr>
          <w:p w14:paraId="7DC4FE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5.条码打印</w:t>
            </w:r>
          </w:p>
        </w:tc>
        <w:tc>
          <w:tcPr>
            <w:tcW w:w="7960" w:type="dxa"/>
            <w:tcBorders>
              <w:top w:val="nil"/>
              <w:left w:val="nil"/>
              <w:bottom w:val="single" w:color="auto" w:sz="4" w:space="0"/>
              <w:right w:val="single" w:color="auto" w:sz="4" w:space="0"/>
            </w:tcBorders>
            <w:shd w:val="clear" w:color="auto" w:fill="auto"/>
            <w:vAlign w:val="center"/>
          </w:tcPr>
          <w:p w14:paraId="411D6B9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5.1 具有团检是否自动报到打印、外检报到不打印及重发检验信息等选择功能</w:t>
            </w:r>
          </w:p>
        </w:tc>
      </w:tr>
      <w:tr w14:paraId="0C8F0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480" w:type="dxa"/>
            <w:vMerge w:val="restart"/>
            <w:tcBorders>
              <w:top w:val="nil"/>
              <w:left w:val="single" w:color="auto" w:sz="4" w:space="0"/>
              <w:bottom w:val="single" w:color="auto" w:sz="4" w:space="0"/>
              <w:right w:val="single" w:color="auto" w:sz="4" w:space="0"/>
            </w:tcBorders>
            <w:shd w:val="clear" w:color="auto" w:fill="auto"/>
            <w:vAlign w:val="center"/>
          </w:tcPr>
          <w:p w14:paraId="4B626D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6.医生工作站</w:t>
            </w:r>
          </w:p>
        </w:tc>
        <w:tc>
          <w:tcPr>
            <w:tcW w:w="7960" w:type="dxa"/>
            <w:tcBorders>
              <w:top w:val="nil"/>
              <w:left w:val="nil"/>
              <w:bottom w:val="single" w:color="auto" w:sz="4" w:space="0"/>
              <w:right w:val="single" w:color="auto" w:sz="4" w:space="0"/>
            </w:tcBorders>
            <w:shd w:val="clear" w:color="auto" w:fill="auto"/>
            <w:vAlign w:val="center"/>
          </w:tcPr>
          <w:p w14:paraId="26DABFF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 体检医生可通过权限快速查询及录入所在体检科室的体检结果</w:t>
            </w:r>
          </w:p>
        </w:tc>
      </w:tr>
      <w:tr w14:paraId="52407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480" w:type="dxa"/>
            <w:vMerge w:val="continue"/>
            <w:tcBorders>
              <w:top w:val="nil"/>
              <w:left w:val="single" w:color="auto" w:sz="4" w:space="0"/>
              <w:bottom w:val="single" w:color="auto" w:sz="4" w:space="0"/>
              <w:right w:val="single" w:color="auto" w:sz="4" w:space="0"/>
            </w:tcBorders>
            <w:shd w:val="clear" w:color="auto" w:fill="auto"/>
            <w:vAlign w:val="center"/>
          </w:tcPr>
          <w:p w14:paraId="3B8DCEC7">
            <w:pPr>
              <w:jc w:val="center"/>
              <w:rPr>
                <w:rFonts w:hint="eastAsia" w:ascii="宋体" w:hAnsi="宋体" w:eastAsia="宋体" w:cs="宋体"/>
                <w:i w:val="0"/>
                <w:iCs w:val="0"/>
                <w:color w:val="000000"/>
                <w:sz w:val="22"/>
                <w:szCs w:val="22"/>
                <w:highlight w:val="none"/>
                <w:u w:val="none"/>
              </w:rPr>
            </w:pPr>
          </w:p>
        </w:tc>
        <w:tc>
          <w:tcPr>
            <w:tcW w:w="7960" w:type="dxa"/>
            <w:tcBorders>
              <w:top w:val="nil"/>
              <w:left w:val="nil"/>
              <w:bottom w:val="single" w:color="auto" w:sz="4" w:space="0"/>
              <w:right w:val="single" w:color="auto" w:sz="4" w:space="0"/>
            </w:tcBorders>
            <w:shd w:val="clear" w:color="auto" w:fill="auto"/>
            <w:vAlign w:val="center"/>
          </w:tcPr>
          <w:p w14:paraId="6C83F23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 能在医生工作站看到体检人员的照片</w:t>
            </w:r>
          </w:p>
        </w:tc>
      </w:tr>
      <w:tr w14:paraId="1E5FD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80" w:type="dxa"/>
            <w:vMerge w:val="continue"/>
            <w:tcBorders>
              <w:top w:val="nil"/>
              <w:left w:val="single" w:color="auto" w:sz="4" w:space="0"/>
              <w:bottom w:val="single" w:color="auto" w:sz="4" w:space="0"/>
              <w:right w:val="single" w:color="auto" w:sz="4" w:space="0"/>
            </w:tcBorders>
            <w:shd w:val="clear" w:color="auto" w:fill="auto"/>
            <w:vAlign w:val="center"/>
          </w:tcPr>
          <w:p w14:paraId="248102E1">
            <w:pPr>
              <w:jc w:val="center"/>
              <w:rPr>
                <w:rFonts w:hint="eastAsia" w:ascii="宋体" w:hAnsi="宋体" w:eastAsia="宋体" w:cs="宋体"/>
                <w:i w:val="0"/>
                <w:iCs w:val="0"/>
                <w:color w:val="000000"/>
                <w:sz w:val="22"/>
                <w:szCs w:val="22"/>
                <w:highlight w:val="none"/>
                <w:u w:val="none"/>
              </w:rPr>
            </w:pPr>
          </w:p>
        </w:tc>
        <w:tc>
          <w:tcPr>
            <w:tcW w:w="7960" w:type="dxa"/>
            <w:tcBorders>
              <w:top w:val="nil"/>
              <w:left w:val="nil"/>
              <w:bottom w:val="single" w:color="auto" w:sz="4" w:space="0"/>
              <w:right w:val="single" w:color="auto" w:sz="4" w:space="0"/>
            </w:tcBorders>
            <w:shd w:val="clear" w:color="auto" w:fill="auto"/>
            <w:vAlign w:val="center"/>
          </w:tcPr>
          <w:p w14:paraId="29D83C6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 具有智能排检系统，能在检查完后自动算出去哪个科室检查最快，并有呼叫下一个的功能按键</w:t>
            </w:r>
          </w:p>
        </w:tc>
      </w:tr>
      <w:tr w14:paraId="395CB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480" w:type="dxa"/>
            <w:vMerge w:val="continue"/>
            <w:tcBorders>
              <w:top w:val="nil"/>
              <w:left w:val="single" w:color="auto" w:sz="4" w:space="0"/>
              <w:bottom w:val="single" w:color="auto" w:sz="4" w:space="0"/>
              <w:right w:val="single" w:color="auto" w:sz="4" w:space="0"/>
            </w:tcBorders>
            <w:shd w:val="clear" w:color="auto" w:fill="auto"/>
            <w:vAlign w:val="center"/>
          </w:tcPr>
          <w:p w14:paraId="5D20B978">
            <w:pPr>
              <w:jc w:val="center"/>
              <w:rPr>
                <w:rFonts w:hint="eastAsia" w:ascii="宋体" w:hAnsi="宋体" w:eastAsia="宋体" w:cs="宋体"/>
                <w:i w:val="0"/>
                <w:iCs w:val="0"/>
                <w:color w:val="000000"/>
                <w:sz w:val="22"/>
                <w:szCs w:val="22"/>
                <w:highlight w:val="none"/>
                <w:u w:val="none"/>
              </w:rPr>
            </w:pPr>
          </w:p>
        </w:tc>
        <w:tc>
          <w:tcPr>
            <w:tcW w:w="7960" w:type="dxa"/>
            <w:tcBorders>
              <w:top w:val="nil"/>
              <w:left w:val="nil"/>
              <w:bottom w:val="single" w:color="auto" w:sz="4" w:space="0"/>
              <w:right w:val="single" w:color="auto" w:sz="4" w:space="0"/>
            </w:tcBorders>
            <w:shd w:val="clear" w:color="auto" w:fill="auto"/>
            <w:vAlign w:val="center"/>
          </w:tcPr>
          <w:p w14:paraId="4CCBE76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6.4 根据检查结果自动生成小结</w:t>
            </w:r>
          </w:p>
        </w:tc>
      </w:tr>
      <w:tr w14:paraId="72EA3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80" w:type="dxa"/>
            <w:vMerge w:val="continue"/>
            <w:tcBorders>
              <w:top w:val="nil"/>
              <w:left w:val="single" w:color="auto" w:sz="4" w:space="0"/>
              <w:bottom w:val="single" w:color="auto" w:sz="4" w:space="0"/>
              <w:right w:val="single" w:color="auto" w:sz="4" w:space="0"/>
            </w:tcBorders>
            <w:shd w:val="clear" w:color="auto" w:fill="auto"/>
            <w:vAlign w:val="center"/>
          </w:tcPr>
          <w:p w14:paraId="16F6F843">
            <w:pPr>
              <w:jc w:val="center"/>
              <w:rPr>
                <w:rFonts w:hint="eastAsia" w:ascii="宋体" w:hAnsi="宋体" w:eastAsia="宋体" w:cs="宋体"/>
                <w:i w:val="0"/>
                <w:iCs w:val="0"/>
                <w:color w:val="000000"/>
                <w:sz w:val="22"/>
                <w:szCs w:val="22"/>
                <w:highlight w:val="none"/>
                <w:u w:val="none"/>
              </w:rPr>
            </w:pPr>
          </w:p>
        </w:tc>
        <w:tc>
          <w:tcPr>
            <w:tcW w:w="7960" w:type="dxa"/>
            <w:tcBorders>
              <w:top w:val="nil"/>
              <w:left w:val="nil"/>
              <w:bottom w:val="single" w:color="auto" w:sz="4" w:space="0"/>
              <w:right w:val="single" w:color="auto" w:sz="4" w:space="0"/>
            </w:tcBorders>
            <w:shd w:val="clear" w:color="auto" w:fill="auto"/>
            <w:vAlign w:val="center"/>
          </w:tcPr>
          <w:p w14:paraId="7E443B3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6.5 听力医生工作站，系统会自动生成校正数据、自动绘制曲线图，自动进行结果判断生成小结。</w:t>
            </w:r>
          </w:p>
        </w:tc>
      </w:tr>
      <w:tr w14:paraId="0B232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480" w:type="dxa"/>
            <w:vMerge w:val="restart"/>
            <w:tcBorders>
              <w:top w:val="nil"/>
              <w:left w:val="single" w:color="auto" w:sz="4" w:space="0"/>
              <w:bottom w:val="single" w:color="auto" w:sz="4" w:space="0"/>
              <w:right w:val="single" w:color="auto" w:sz="4" w:space="0"/>
            </w:tcBorders>
            <w:shd w:val="clear" w:color="auto" w:fill="auto"/>
            <w:vAlign w:val="center"/>
          </w:tcPr>
          <w:p w14:paraId="0937D8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7.结果录入</w:t>
            </w:r>
          </w:p>
        </w:tc>
        <w:tc>
          <w:tcPr>
            <w:tcW w:w="7960" w:type="dxa"/>
            <w:tcBorders>
              <w:top w:val="nil"/>
              <w:left w:val="nil"/>
              <w:bottom w:val="single" w:color="auto" w:sz="4" w:space="0"/>
              <w:right w:val="single" w:color="auto" w:sz="4" w:space="0"/>
            </w:tcBorders>
            <w:shd w:val="clear" w:color="auto" w:fill="auto"/>
            <w:vAlign w:val="center"/>
          </w:tcPr>
          <w:p w14:paraId="541FEB5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7.1 可录入所有体检项目的结果及接收检验、影像等相关结果</w:t>
            </w:r>
          </w:p>
        </w:tc>
      </w:tr>
      <w:tr w14:paraId="7B8B8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480" w:type="dxa"/>
            <w:vMerge w:val="continue"/>
            <w:tcBorders>
              <w:top w:val="nil"/>
              <w:left w:val="single" w:color="auto" w:sz="4" w:space="0"/>
              <w:bottom w:val="single" w:color="auto" w:sz="4" w:space="0"/>
              <w:right w:val="single" w:color="auto" w:sz="4" w:space="0"/>
            </w:tcBorders>
            <w:shd w:val="clear" w:color="auto" w:fill="auto"/>
            <w:vAlign w:val="center"/>
          </w:tcPr>
          <w:p w14:paraId="57C5C021">
            <w:pPr>
              <w:jc w:val="center"/>
              <w:rPr>
                <w:rFonts w:hint="eastAsia" w:ascii="宋体" w:hAnsi="宋体" w:eastAsia="宋体" w:cs="宋体"/>
                <w:i w:val="0"/>
                <w:iCs w:val="0"/>
                <w:color w:val="000000"/>
                <w:sz w:val="22"/>
                <w:szCs w:val="22"/>
                <w:highlight w:val="none"/>
                <w:u w:val="none"/>
              </w:rPr>
            </w:pPr>
          </w:p>
        </w:tc>
        <w:tc>
          <w:tcPr>
            <w:tcW w:w="7960" w:type="dxa"/>
            <w:tcBorders>
              <w:top w:val="nil"/>
              <w:left w:val="nil"/>
              <w:bottom w:val="single" w:color="auto" w:sz="4" w:space="0"/>
              <w:right w:val="single" w:color="auto" w:sz="4" w:space="0"/>
            </w:tcBorders>
            <w:shd w:val="clear" w:color="auto" w:fill="auto"/>
            <w:vAlign w:val="center"/>
          </w:tcPr>
          <w:p w14:paraId="5A06509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7.2 报告明细中属于接收数据部分的内容需要加以区分</w:t>
            </w:r>
          </w:p>
        </w:tc>
      </w:tr>
      <w:tr w14:paraId="59F4B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480" w:type="dxa"/>
            <w:tcBorders>
              <w:top w:val="nil"/>
              <w:left w:val="single" w:color="auto" w:sz="4" w:space="0"/>
              <w:bottom w:val="single" w:color="auto" w:sz="4" w:space="0"/>
              <w:right w:val="single" w:color="auto" w:sz="4" w:space="0"/>
            </w:tcBorders>
            <w:shd w:val="clear" w:color="auto" w:fill="auto"/>
            <w:vAlign w:val="center"/>
          </w:tcPr>
          <w:p w14:paraId="0265E9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8.主检审核</w:t>
            </w:r>
          </w:p>
        </w:tc>
        <w:tc>
          <w:tcPr>
            <w:tcW w:w="7960" w:type="dxa"/>
            <w:tcBorders>
              <w:top w:val="nil"/>
              <w:left w:val="nil"/>
              <w:bottom w:val="single" w:color="auto" w:sz="4" w:space="0"/>
              <w:right w:val="single" w:color="auto" w:sz="4" w:space="0"/>
            </w:tcBorders>
            <w:shd w:val="clear" w:color="auto" w:fill="auto"/>
            <w:vAlign w:val="center"/>
          </w:tcPr>
          <w:p w14:paraId="372A28A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8.1 自动生成结论和建议，主检医生只需要根据综合情况进行适当修改</w:t>
            </w:r>
          </w:p>
        </w:tc>
      </w:tr>
      <w:tr w14:paraId="2A773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480" w:type="dxa"/>
            <w:vMerge w:val="restart"/>
            <w:tcBorders>
              <w:top w:val="nil"/>
              <w:left w:val="single" w:color="auto" w:sz="4" w:space="0"/>
              <w:bottom w:val="single" w:color="auto" w:sz="4" w:space="0"/>
              <w:right w:val="single" w:color="auto" w:sz="4" w:space="0"/>
            </w:tcBorders>
            <w:shd w:val="clear" w:color="auto" w:fill="auto"/>
            <w:vAlign w:val="center"/>
          </w:tcPr>
          <w:p w14:paraId="40040A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9.数据查询</w:t>
            </w:r>
          </w:p>
        </w:tc>
        <w:tc>
          <w:tcPr>
            <w:tcW w:w="7960" w:type="dxa"/>
            <w:tcBorders>
              <w:top w:val="nil"/>
              <w:left w:val="nil"/>
              <w:bottom w:val="single" w:color="auto" w:sz="4" w:space="0"/>
              <w:right w:val="single" w:color="auto" w:sz="4" w:space="0"/>
            </w:tcBorders>
            <w:shd w:val="clear" w:color="auto" w:fill="auto"/>
            <w:vAlign w:val="center"/>
          </w:tcPr>
          <w:p w14:paraId="5C72184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9.1 可采用多种查询方式进行体检综合查询和体检报告查询</w:t>
            </w:r>
          </w:p>
        </w:tc>
      </w:tr>
      <w:tr w14:paraId="17E77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480" w:type="dxa"/>
            <w:vMerge w:val="continue"/>
            <w:tcBorders>
              <w:top w:val="nil"/>
              <w:left w:val="single" w:color="auto" w:sz="4" w:space="0"/>
              <w:bottom w:val="single" w:color="auto" w:sz="4" w:space="0"/>
              <w:right w:val="single" w:color="auto" w:sz="4" w:space="0"/>
            </w:tcBorders>
            <w:shd w:val="clear" w:color="auto" w:fill="auto"/>
            <w:vAlign w:val="center"/>
          </w:tcPr>
          <w:p w14:paraId="25AFE3D9">
            <w:pPr>
              <w:jc w:val="center"/>
              <w:rPr>
                <w:rFonts w:hint="eastAsia" w:ascii="宋体" w:hAnsi="宋体" w:eastAsia="宋体" w:cs="宋体"/>
                <w:i w:val="0"/>
                <w:iCs w:val="0"/>
                <w:color w:val="000000"/>
                <w:sz w:val="22"/>
                <w:szCs w:val="22"/>
                <w:highlight w:val="none"/>
                <w:u w:val="none"/>
              </w:rPr>
            </w:pPr>
          </w:p>
        </w:tc>
        <w:tc>
          <w:tcPr>
            <w:tcW w:w="7960" w:type="dxa"/>
            <w:tcBorders>
              <w:top w:val="nil"/>
              <w:left w:val="nil"/>
              <w:bottom w:val="single" w:color="auto" w:sz="4" w:space="0"/>
              <w:right w:val="single" w:color="auto" w:sz="4" w:space="0"/>
            </w:tcBorders>
            <w:shd w:val="clear" w:color="auto" w:fill="auto"/>
            <w:vAlign w:val="center"/>
          </w:tcPr>
          <w:p w14:paraId="2E7C46C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9.2 体检结果可以通过手机短信息发布给受检人员</w:t>
            </w:r>
          </w:p>
        </w:tc>
      </w:tr>
      <w:tr w14:paraId="018F6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480" w:type="dxa"/>
            <w:vMerge w:val="continue"/>
            <w:tcBorders>
              <w:top w:val="nil"/>
              <w:left w:val="single" w:color="auto" w:sz="4" w:space="0"/>
              <w:bottom w:val="single" w:color="auto" w:sz="4" w:space="0"/>
              <w:right w:val="single" w:color="auto" w:sz="4" w:space="0"/>
            </w:tcBorders>
            <w:shd w:val="clear" w:color="auto" w:fill="auto"/>
            <w:vAlign w:val="center"/>
          </w:tcPr>
          <w:p w14:paraId="1EF702AC">
            <w:pPr>
              <w:jc w:val="center"/>
              <w:rPr>
                <w:rFonts w:hint="eastAsia" w:ascii="宋体" w:hAnsi="宋体" w:eastAsia="宋体" w:cs="宋体"/>
                <w:i w:val="0"/>
                <w:iCs w:val="0"/>
                <w:color w:val="000000"/>
                <w:sz w:val="22"/>
                <w:szCs w:val="22"/>
                <w:highlight w:val="none"/>
                <w:u w:val="none"/>
              </w:rPr>
            </w:pPr>
          </w:p>
        </w:tc>
        <w:tc>
          <w:tcPr>
            <w:tcW w:w="7960" w:type="dxa"/>
            <w:tcBorders>
              <w:top w:val="nil"/>
              <w:left w:val="nil"/>
              <w:bottom w:val="single" w:color="auto" w:sz="4" w:space="0"/>
              <w:right w:val="single" w:color="auto" w:sz="4" w:space="0"/>
            </w:tcBorders>
            <w:shd w:val="clear" w:color="auto" w:fill="auto"/>
            <w:vAlign w:val="center"/>
          </w:tcPr>
          <w:p w14:paraId="1CC87CB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9.3 体检人员可以通过医院网站或微信端自行查询体检结果</w:t>
            </w:r>
          </w:p>
        </w:tc>
      </w:tr>
      <w:tr w14:paraId="77161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480" w:type="dxa"/>
            <w:vMerge w:val="restart"/>
            <w:tcBorders>
              <w:top w:val="nil"/>
              <w:left w:val="single" w:color="auto" w:sz="4" w:space="0"/>
              <w:bottom w:val="single" w:color="auto" w:sz="4" w:space="0"/>
              <w:right w:val="single" w:color="auto" w:sz="4" w:space="0"/>
            </w:tcBorders>
            <w:shd w:val="clear" w:color="auto" w:fill="auto"/>
            <w:vAlign w:val="center"/>
          </w:tcPr>
          <w:p w14:paraId="450F91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10.生成报表</w:t>
            </w:r>
          </w:p>
        </w:tc>
        <w:tc>
          <w:tcPr>
            <w:tcW w:w="7960" w:type="dxa"/>
            <w:tcBorders>
              <w:top w:val="nil"/>
              <w:left w:val="nil"/>
              <w:bottom w:val="single" w:color="auto" w:sz="4" w:space="0"/>
              <w:right w:val="single" w:color="auto" w:sz="4" w:space="0"/>
            </w:tcBorders>
            <w:shd w:val="clear" w:color="auto" w:fill="auto"/>
            <w:vAlign w:val="center"/>
          </w:tcPr>
          <w:p w14:paraId="5EB27944">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▲10.1 自动生成单位职业病总结报告</w:t>
            </w:r>
          </w:p>
        </w:tc>
      </w:tr>
      <w:tr w14:paraId="05BB8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480" w:type="dxa"/>
            <w:vMerge w:val="continue"/>
            <w:tcBorders>
              <w:top w:val="nil"/>
              <w:left w:val="single" w:color="auto" w:sz="4" w:space="0"/>
              <w:bottom w:val="single" w:color="auto" w:sz="4" w:space="0"/>
              <w:right w:val="single" w:color="auto" w:sz="4" w:space="0"/>
            </w:tcBorders>
            <w:shd w:val="clear" w:color="auto" w:fill="auto"/>
            <w:vAlign w:val="center"/>
          </w:tcPr>
          <w:p w14:paraId="4F08B08C">
            <w:pPr>
              <w:jc w:val="center"/>
              <w:rPr>
                <w:rFonts w:hint="eastAsia" w:ascii="宋体" w:hAnsi="宋体" w:eastAsia="宋体" w:cs="宋体"/>
                <w:i w:val="0"/>
                <w:iCs w:val="0"/>
                <w:color w:val="000000"/>
                <w:sz w:val="22"/>
                <w:szCs w:val="22"/>
                <w:highlight w:val="none"/>
                <w:u w:val="none"/>
              </w:rPr>
            </w:pPr>
          </w:p>
        </w:tc>
        <w:tc>
          <w:tcPr>
            <w:tcW w:w="7960" w:type="dxa"/>
            <w:tcBorders>
              <w:top w:val="nil"/>
              <w:left w:val="nil"/>
              <w:bottom w:val="single" w:color="auto" w:sz="4" w:space="0"/>
              <w:right w:val="single" w:color="auto" w:sz="4" w:space="0"/>
            </w:tcBorders>
            <w:shd w:val="clear" w:color="auto" w:fill="auto"/>
            <w:vAlign w:val="center"/>
          </w:tcPr>
          <w:p w14:paraId="0E020957">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▲10.2 自动生成重点职业病信息表</w:t>
            </w:r>
          </w:p>
        </w:tc>
      </w:tr>
      <w:tr w14:paraId="49CB7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480" w:type="dxa"/>
            <w:vMerge w:val="continue"/>
            <w:tcBorders>
              <w:top w:val="nil"/>
              <w:left w:val="single" w:color="auto" w:sz="4" w:space="0"/>
              <w:bottom w:val="single" w:color="auto" w:sz="4" w:space="0"/>
              <w:right w:val="single" w:color="auto" w:sz="4" w:space="0"/>
            </w:tcBorders>
            <w:shd w:val="clear" w:color="auto" w:fill="auto"/>
            <w:vAlign w:val="center"/>
          </w:tcPr>
          <w:p w14:paraId="112AE362">
            <w:pPr>
              <w:jc w:val="center"/>
              <w:rPr>
                <w:rFonts w:hint="eastAsia" w:ascii="宋体" w:hAnsi="宋体" w:eastAsia="宋体" w:cs="宋体"/>
                <w:i w:val="0"/>
                <w:iCs w:val="0"/>
                <w:color w:val="000000"/>
                <w:sz w:val="22"/>
                <w:szCs w:val="22"/>
                <w:highlight w:val="none"/>
                <w:u w:val="none"/>
              </w:rPr>
            </w:pPr>
          </w:p>
        </w:tc>
        <w:tc>
          <w:tcPr>
            <w:tcW w:w="7960" w:type="dxa"/>
            <w:tcBorders>
              <w:top w:val="nil"/>
              <w:left w:val="nil"/>
              <w:bottom w:val="single" w:color="auto" w:sz="4" w:space="0"/>
              <w:right w:val="single" w:color="auto" w:sz="4" w:space="0"/>
            </w:tcBorders>
            <w:shd w:val="clear" w:color="auto" w:fill="auto"/>
            <w:vAlign w:val="center"/>
          </w:tcPr>
          <w:p w14:paraId="6FE7EB6F">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▲10.3 自动计算电测听校正值，并自动生成图像及结论</w:t>
            </w:r>
          </w:p>
        </w:tc>
      </w:tr>
      <w:tr w14:paraId="2C3BE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480" w:type="dxa"/>
            <w:vMerge w:val="continue"/>
            <w:tcBorders>
              <w:top w:val="nil"/>
              <w:left w:val="single" w:color="auto" w:sz="4" w:space="0"/>
              <w:bottom w:val="single" w:color="auto" w:sz="4" w:space="0"/>
              <w:right w:val="single" w:color="auto" w:sz="4" w:space="0"/>
            </w:tcBorders>
            <w:shd w:val="clear" w:color="auto" w:fill="auto"/>
            <w:vAlign w:val="center"/>
          </w:tcPr>
          <w:p w14:paraId="11837AF2">
            <w:pPr>
              <w:jc w:val="center"/>
              <w:rPr>
                <w:rFonts w:hint="eastAsia" w:ascii="宋体" w:hAnsi="宋体" w:eastAsia="宋体" w:cs="宋体"/>
                <w:i w:val="0"/>
                <w:iCs w:val="0"/>
                <w:color w:val="000000"/>
                <w:sz w:val="22"/>
                <w:szCs w:val="22"/>
                <w:highlight w:val="none"/>
                <w:u w:val="none"/>
              </w:rPr>
            </w:pPr>
          </w:p>
        </w:tc>
        <w:tc>
          <w:tcPr>
            <w:tcW w:w="7960" w:type="dxa"/>
            <w:tcBorders>
              <w:top w:val="nil"/>
              <w:left w:val="nil"/>
              <w:bottom w:val="single" w:color="auto" w:sz="4" w:space="0"/>
              <w:right w:val="single" w:color="auto" w:sz="4" w:space="0"/>
            </w:tcBorders>
            <w:shd w:val="clear" w:color="auto" w:fill="auto"/>
            <w:vAlign w:val="center"/>
          </w:tcPr>
          <w:p w14:paraId="7169044F">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▲10.4 体检人信息导入后自动生成对应项目</w:t>
            </w:r>
          </w:p>
        </w:tc>
      </w:tr>
      <w:tr w14:paraId="759A4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480" w:type="dxa"/>
            <w:vMerge w:val="continue"/>
            <w:tcBorders>
              <w:top w:val="nil"/>
              <w:left w:val="single" w:color="auto" w:sz="4" w:space="0"/>
              <w:bottom w:val="single" w:color="auto" w:sz="4" w:space="0"/>
              <w:right w:val="single" w:color="auto" w:sz="4" w:space="0"/>
            </w:tcBorders>
            <w:shd w:val="clear" w:color="auto" w:fill="auto"/>
            <w:vAlign w:val="center"/>
          </w:tcPr>
          <w:p w14:paraId="34767892">
            <w:pPr>
              <w:jc w:val="center"/>
              <w:rPr>
                <w:rFonts w:hint="eastAsia" w:ascii="宋体" w:hAnsi="宋体" w:eastAsia="宋体" w:cs="宋体"/>
                <w:i w:val="0"/>
                <w:iCs w:val="0"/>
                <w:color w:val="000000"/>
                <w:sz w:val="22"/>
                <w:szCs w:val="22"/>
                <w:highlight w:val="none"/>
                <w:u w:val="none"/>
              </w:rPr>
            </w:pPr>
          </w:p>
        </w:tc>
        <w:tc>
          <w:tcPr>
            <w:tcW w:w="7960" w:type="dxa"/>
            <w:tcBorders>
              <w:top w:val="nil"/>
              <w:left w:val="nil"/>
              <w:bottom w:val="single" w:color="auto" w:sz="4" w:space="0"/>
              <w:right w:val="single" w:color="auto" w:sz="4" w:space="0"/>
            </w:tcBorders>
            <w:shd w:val="clear" w:color="auto" w:fill="auto"/>
            <w:vAlign w:val="center"/>
          </w:tcPr>
          <w:p w14:paraId="2193F98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10.5 自动生成肺功能结论</w:t>
            </w:r>
          </w:p>
        </w:tc>
      </w:tr>
      <w:tr w14:paraId="2C966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480" w:type="dxa"/>
            <w:vMerge w:val="continue"/>
            <w:tcBorders>
              <w:top w:val="nil"/>
              <w:left w:val="single" w:color="auto" w:sz="4" w:space="0"/>
              <w:bottom w:val="single" w:color="auto" w:sz="4" w:space="0"/>
              <w:right w:val="single" w:color="auto" w:sz="4" w:space="0"/>
            </w:tcBorders>
            <w:shd w:val="clear" w:color="auto" w:fill="auto"/>
            <w:vAlign w:val="center"/>
          </w:tcPr>
          <w:p w14:paraId="46429ED8">
            <w:pPr>
              <w:jc w:val="center"/>
              <w:rPr>
                <w:rFonts w:hint="eastAsia" w:ascii="宋体" w:hAnsi="宋体" w:eastAsia="宋体" w:cs="宋体"/>
                <w:i w:val="0"/>
                <w:iCs w:val="0"/>
                <w:color w:val="000000"/>
                <w:sz w:val="22"/>
                <w:szCs w:val="22"/>
                <w:highlight w:val="none"/>
                <w:u w:val="none"/>
              </w:rPr>
            </w:pPr>
          </w:p>
        </w:tc>
        <w:tc>
          <w:tcPr>
            <w:tcW w:w="7960" w:type="dxa"/>
            <w:tcBorders>
              <w:top w:val="nil"/>
              <w:left w:val="nil"/>
              <w:bottom w:val="single" w:color="auto" w:sz="4" w:space="0"/>
              <w:right w:val="single" w:color="auto" w:sz="4" w:space="0"/>
            </w:tcBorders>
            <w:shd w:val="clear" w:color="auto" w:fill="auto"/>
            <w:vAlign w:val="center"/>
          </w:tcPr>
          <w:p w14:paraId="6D3BC79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10.6 自动生成疑似职业病列表及通知书</w:t>
            </w:r>
          </w:p>
        </w:tc>
      </w:tr>
      <w:tr w14:paraId="41CE5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480" w:type="dxa"/>
            <w:vMerge w:val="continue"/>
            <w:tcBorders>
              <w:top w:val="nil"/>
              <w:left w:val="single" w:color="auto" w:sz="4" w:space="0"/>
              <w:bottom w:val="single" w:color="auto" w:sz="4" w:space="0"/>
              <w:right w:val="single" w:color="auto" w:sz="4" w:space="0"/>
            </w:tcBorders>
            <w:shd w:val="clear" w:color="auto" w:fill="auto"/>
            <w:vAlign w:val="center"/>
          </w:tcPr>
          <w:p w14:paraId="7A0DCCF3">
            <w:pPr>
              <w:jc w:val="center"/>
              <w:rPr>
                <w:rFonts w:hint="eastAsia" w:ascii="宋体" w:hAnsi="宋体" w:eastAsia="宋体" w:cs="宋体"/>
                <w:i w:val="0"/>
                <w:iCs w:val="0"/>
                <w:color w:val="000000"/>
                <w:sz w:val="22"/>
                <w:szCs w:val="22"/>
                <w:highlight w:val="none"/>
                <w:u w:val="none"/>
              </w:rPr>
            </w:pPr>
          </w:p>
        </w:tc>
        <w:tc>
          <w:tcPr>
            <w:tcW w:w="7960" w:type="dxa"/>
            <w:tcBorders>
              <w:top w:val="nil"/>
              <w:left w:val="nil"/>
              <w:bottom w:val="single" w:color="auto" w:sz="4" w:space="0"/>
              <w:right w:val="single" w:color="auto" w:sz="4" w:space="0"/>
            </w:tcBorders>
            <w:shd w:val="clear" w:color="auto" w:fill="auto"/>
            <w:vAlign w:val="center"/>
          </w:tcPr>
          <w:p w14:paraId="6ADBA62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10.7 自动生成职业禁忌证列表及通知书</w:t>
            </w:r>
          </w:p>
        </w:tc>
      </w:tr>
      <w:tr w14:paraId="2DE42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480" w:type="dxa"/>
            <w:vMerge w:val="continue"/>
            <w:tcBorders>
              <w:top w:val="nil"/>
              <w:left w:val="single" w:color="auto" w:sz="4" w:space="0"/>
              <w:bottom w:val="single" w:color="auto" w:sz="4" w:space="0"/>
              <w:right w:val="single" w:color="auto" w:sz="4" w:space="0"/>
            </w:tcBorders>
            <w:shd w:val="clear" w:color="auto" w:fill="auto"/>
            <w:vAlign w:val="center"/>
          </w:tcPr>
          <w:p w14:paraId="5CCE2F88">
            <w:pPr>
              <w:jc w:val="center"/>
              <w:rPr>
                <w:rFonts w:hint="eastAsia" w:ascii="宋体" w:hAnsi="宋体" w:eastAsia="宋体" w:cs="宋体"/>
                <w:i w:val="0"/>
                <w:iCs w:val="0"/>
                <w:color w:val="000000"/>
                <w:sz w:val="22"/>
                <w:szCs w:val="22"/>
                <w:highlight w:val="none"/>
                <w:u w:val="none"/>
              </w:rPr>
            </w:pPr>
          </w:p>
        </w:tc>
        <w:tc>
          <w:tcPr>
            <w:tcW w:w="7960" w:type="dxa"/>
            <w:tcBorders>
              <w:top w:val="nil"/>
              <w:left w:val="nil"/>
              <w:bottom w:val="single" w:color="auto" w:sz="4" w:space="0"/>
              <w:right w:val="single" w:color="auto" w:sz="4" w:space="0"/>
            </w:tcBorders>
            <w:shd w:val="clear" w:color="auto" w:fill="auto"/>
            <w:vAlign w:val="center"/>
          </w:tcPr>
          <w:p w14:paraId="04BCF38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10.8 自动生成复查列表及通知书</w:t>
            </w:r>
          </w:p>
        </w:tc>
      </w:tr>
      <w:tr w14:paraId="74EB3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480" w:type="dxa"/>
            <w:vMerge w:val="continue"/>
            <w:tcBorders>
              <w:top w:val="nil"/>
              <w:left w:val="single" w:color="auto" w:sz="4" w:space="0"/>
              <w:bottom w:val="single" w:color="auto" w:sz="4" w:space="0"/>
              <w:right w:val="single" w:color="auto" w:sz="4" w:space="0"/>
            </w:tcBorders>
            <w:shd w:val="clear" w:color="auto" w:fill="auto"/>
            <w:vAlign w:val="center"/>
          </w:tcPr>
          <w:p w14:paraId="77C0BF1D">
            <w:pPr>
              <w:jc w:val="center"/>
              <w:rPr>
                <w:rFonts w:hint="eastAsia" w:ascii="宋体" w:hAnsi="宋体" w:eastAsia="宋体" w:cs="宋体"/>
                <w:i w:val="0"/>
                <w:iCs w:val="0"/>
                <w:color w:val="000000"/>
                <w:sz w:val="22"/>
                <w:szCs w:val="22"/>
                <w:highlight w:val="none"/>
                <w:u w:val="none"/>
              </w:rPr>
            </w:pPr>
          </w:p>
        </w:tc>
        <w:tc>
          <w:tcPr>
            <w:tcW w:w="7960" w:type="dxa"/>
            <w:tcBorders>
              <w:top w:val="nil"/>
              <w:left w:val="nil"/>
              <w:bottom w:val="single" w:color="auto" w:sz="4" w:space="0"/>
              <w:right w:val="single" w:color="auto" w:sz="4" w:space="0"/>
            </w:tcBorders>
            <w:shd w:val="clear" w:color="auto" w:fill="auto"/>
            <w:vAlign w:val="center"/>
          </w:tcPr>
          <w:p w14:paraId="5773382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10.9 自动生成《职业健康检查表》、《职业健康检查报告书》、《疑似职业病告知书》、《有毒有害作业工人健康监护卡》、《职业健康检查复查通知书》等文书</w:t>
            </w:r>
          </w:p>
        </w:tc>
      </w:tr>
      <w:tr w14:paraId="7EF43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480" w:type="dxa"/>
            <w:vMerge w:val="continue"/>
            <w:tcBorders>
              <w:top w:val="nil"/>
              <w:left w:val="single" w:color="auto" w:sz="4" w:space="0"/>
              <w:bottom w:val="single" w:color="auto" w:sz="4" w:space="0"/>
              <w:right w:val="single" w:color="auto" w:sz="4" w:space="0"/>
            </w:tcBorders>
            <w:shd w:val="clear" w:color="auto" w:fill="auto"/>
            <w:vAlign w:val="center"/>
          </w:tcPr>
          <w:p w14:paraId="7FAB4D54">
            <w:pPr>
              <w:jc w:val="center"/>
              <w:rPr>
                <w:rFonts w:hint="eastAsia" w:ascii="宋体" w:hAnsi="宋体" w:eastAsia="宋体" w:cs="宋体"/>
                <w:i w:val="0"/>
                <w:iCs w:val="0"/>
                <w:color w:val="000000"/>
                <w:sz w:val="22"/>
                <w:szCs w:val="22"/>
                <w:highlight w:val="none"/>
                <w:u w:val="none"/>
              </w:rPr>
            </w:pPr>
          </w:p>
        </w:tc>
        <w:tc>
          <w:tcPr>
            <w:tcW w:w="7960" w:type="dxa"/>
            <w:tcBorders>
              <w:top w:val="nil"/>
              <w:left w:val="nil"/>
              <w:bottom w:val="single" w:color="auto" w:sz="4" w:space="0"/>
              <w:right w:val="single" w:color="auto" w:sz="4" w:space="0"/>
            </w:tcBorders>
            <w:shd w:val="clear" w:color="auto" w:fill="auto"/>
            <w:vAlign w:val="center"/>
          </w:tcPr>
          <w:p w14:paraId="28F22CB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10.10 职业健康数据汇总分析</w:t>
            </w:r>
          </w:p>
        </w:tc>
      </w:tr>
    </w:tbl>
    <w:p w14:paraId="5D69E3BC">
      <w:pPr>
        <w:pStyle w:val="23"/>
        <w:spacing w:line="360" w:lineRule="auto"/>
        <w:outlineLvl w:val="1"/>
        <w:rPr>
          <w:rFonts w:hint="default" w:hAnsi="宋体"/>
          <w:sz w:val="24"/>
          <w:szCs w:val="24"/>
          <w:highlight w:val="none"/>
          <w:lang w:val="en-US" w:eastAsia="zh-CN"/>
        </w:rPr>
      </w:pPr>
    </w:p>
    <w:p w14:paraId="1D172819">
      <w:pPr>
        <w:pStyle w:val="23"/>
        <w:spacing w:line="360" w:lineRule="auto"/>
        <w:ind w:firstLine="482"/>
        <w:outlineLvl w:val="1"/>
        <w:rPr>
          <w:rFonts w:hAnsi="宋体"/>
          <w:b/>
          <w:sz w:val="24"/>
          <w:szCs w:val="24"/>
          <w:highlight w:val="none"/>
        </w:rPr>
      </w:pPr>
      <w:bookmarkStart w:id="83" w:name="_Toc184723289"/>
      <w:r>
        <w:rPr>
          <w:rFonts w:hint="eastAsia" w:hAnsi="宋体"/>
          <w:b/>
          <w:sz w:val="24"/>
          <w:szCs w:val="24"/>
          <w:highlight w:val="none"/>
        </w:rPr>
        <w:t>四</w:t>
      </w:r>
      <w:r>
        <w:rPr>
          <w:rFonts w:hAnsi="宋体"/>
          <w:b/>
          <w:sz w:val="24"/>
          <w:szCs w:val="24"/>
          <w:highlight w:val="none"/>
        </w:rPr>
        <w:t>、</w:t>
      </w:r>
      <w:r>
        <w:rPr>
          <w:rFonts w:hint="eastAsia" w:hAnsi="宋体"/>
          <w:b/>
          <w:sz w:val="24"/>
          <w:szCs w:val="24"/>
          <w:highlight w:val="none"/>
        </w:rPr>
        <w:t>售后服务要求</w:t>
      </w:r>
      <w:bookmarkEnd w:id="83"/>
    </w:p>
    <w:p w14:paraId="6434AD6D">
      <w:pPr>
        <w:pStyle w:val="23"/>
        <w:spacing w:line="360" w:lineRule="auto"/>
        <w:ind w:firstLine="482"/>
        <w:outlineLvl w:val="1"/>
        <w:rPr>
          <w:rFonts w:hint="default" w:hAnsi="宋体" w:eastAsia="宋体"/>
          <w:sz w:val="24"/>
          <w:szCs w:val="24"/>
          <w:highlight w:val="none"/>
          <w:lang w:val="en-US" w:eastAsia="zh-CN"/>
        </w:rPr>
      </w:pPr>
      <w:bookmarkStart w:id="84" w:name="_Toc184723293"/>
      <w:r>
        <w:rPr>
          <w:rFonts w:hint="eastAsia" w:hAnsi="宋体"/>
          <w:sz w:val="24"/>
          <w:szCs w:val="24"/>
          <w:highlight w:val="none"/>
          <w:lang w:val="en-US" w:eastAsia="zh-CN"/>
        </w:rPr>
        <w:t>1.售后服务内容</w:t>
      </w:r>
    </w:p>
    <w:p w14:paraId="361D69ED">
      <w:pPr>
        <w:pStyle w:val="23"/>
        <w:spacing w:line="360" w:lineRule="auto"/>
        <w:ind w:firstLine="482"/>
        <w:outlineLvl w:val="1"/>
        <w:rPr>
          <w:rFonts w:hint="eastAsia" w:hAnsi="宋体"/>
          <w:sz w:val="24"/>
          <w:szCs w:val="24"/>
          <w:highlight w:val="none"/>
        </w:rPr>
      </w:pPr>
      <w:r>
        <w:rPr>
          <w:rFonts w:hint="eastAsia" w:hAnsi="宋体"/>
          <w:sz w:val="24"/>
          <w:szCs w:val="24"/>
          <w:highlight w:val="none"/>
        </w:rPr>
        <w:t>1</w:t>
      </w:r>
      <w:r>
        <w:rPr>
          <w:rFonts w:hint="eastAsia" w:hAnsi="宋体"/>
          <w:sz w:val="24"/>
          <w:szCs w:val="24"/>
          <w:highlight w:val="none"/>
          <w:lang w:val="en-US" w:eastAsia="zh-CN"/>
        </w:rPr>
        <w:t>.1</w:t>
      </w:r>
      <w:r>
        <w:rPr>
          <w:rFonts w:hint="eastAsia" w:hAnsi="宋体"/>
          <w:sz w:val="24"/>
          <w:szCs w:val="24"/>
          <w:highlight w:val="none"/>
        </w:rPr>
        <w:t>技术支持</w:t>
      </w:r>
    </w:p>
    <w:p w14:paraId="0408081E">
      <w:pPr>
        <w:pStyle w:val="23"/>
        <w:spacing w:line="360" w:lineRule="auto"/>
        <w:ind w:firstLine="482"/>
        <w:outlineLvl w:val="1"/>
        <w:rPr>
          <w:rFonts w:hint="eastAsia" w:hAnsi="宋体"/>
          <w:sz w:val="24"/>
          <w:szCs w:val="24"/>
          <w:highlight w:val="none"/>
        </w:rPr>
      </w:pPr>
      <w:r>
        <w:rPr>
          <w:rFonts w:hint="eastAsia" w:hAnsi="宋体"/>
          <w:sz w:val="24"/>
          <w:szCs w:val="24"/>
          <w:highlight w:val="none"/>
        </w:rPr>
        <w:t>1.1</w:t>
      </w:r>
      <w:r>
        <w:rPr>
          <w:rFonts w:hint="eastAsia" w:hAnsi="宋体"/>
          <w:sz w:val="24"/>
          <w:szCs w:val="24"/>
          <w:highlight w:val="none"/>
          <w:lang w:val="en-US" w:eastAsia="zh-CN"/>
        </w:rPr>
        <w:t>.1中选</w:t>
      </w:r>
      <w:r>
        <w:rPr>
          <w:rFonts w:hint="eastAsia" w:eastAsia="宋体"/>
          <w:bCs/>
          <w:sz w:val="24"/>
          <w:szCs w:val="21"/>
          <w:highlight w:val="none"/>
        </w:rPr>
        <w:t>供应商</w:t>
      </w:r>
      <w:r>
        <w:rPr>
          <w:rFonts w:hint="eastAsia" w:hAnsi="宋体"/>
          <w:sz w:val="24"/>
          <w:szCs w:val="24"/>
          <w:highlight w:val="none"/>
        </w:rPr>
        <w:t>承诺在软件产品</w:t>
      </w:r>
      <w:r>
        <w:rPr>
          <w:rFonts w:hint="eastAsia" w:hAnsi="宋体"/>
          <w:sz w:val="24"/>
          <w:szCs w:val="24"/>
          <w:highlight w:val="none"/>
          <w:lang w:val="en-US" w:eastAsia="zh-CN"/>
        </w:rPr>
        <w:t>验收</w:t>
      </w:r>
      <w:r>
        <w:rPr>
          <w:rFonts w:hint="eastAsia" w:hAnsi="宋体"/>
          <w:sz w:val="24"/>
          <w:szCs w:val="24"/>
          <w:highlight w:val="none"/>
        </w:rPr>
        <w:t>交付后提供为期</w:t>
      </w:r>
      <w:r>
        <w:rPr>
          <w:rFonts w:hint="eastAsia" w:hAnsi="宋体"/>
          <w:sz w:val="24"/>
          <w:szCs w:val="24"/>
          <w:highlight w:val="none"/>
          <w:lang w:val="en-US" w:eastAsia="zh-CN"/>
        </w:rPr>
        <w:t>不少于</w:t>
      </w:r>
      <w:r>
        <w:rPr>
          <w:rFonts w:hint="eastAsia" w:hAnsi="宋体"/>
          <w:sz w:val="24"/>
          <w:szCs w:val="24"/>
          <w:highlight w:val="none"/>
        </w:rPr>
        <w:t xml:space="preserve">一年的免费技术支持服务。 </w:t>
      </w:r>
    </w:p>
    <w:p w14:paraId="60AD1E11">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1.</w:t>
      </w:r>
      <w:r>
        <w:rPr>
          <w:rFonts w:hint="eastAsia" w:hAnsi="宋体"/>
          <w:sz w:val="24"/>
          <w:szCs w:val="24"/>
          <w:highlight w:val="none"/>
        </w:rPr>
        <w:t>1.2技术支持服务包括但不限于电话咨询、邮件回复、在线聊天等方式。</w:t>
      </w:r>
    </w:p>
    <w:p w14:paraId="32C091DF">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1.</w:t>
      </w:r>
      <w:r>
        <w:rPr>
          <w:rFonts w:hint="eastAsia" w:hAnsi="宋体"/>
          <w:sz w:val="24"/>
          <w:szCs w:val="24"/>
          <w:highlight w:val="none"/>
        </w:rPr>
        <w:t>1.3</w:t>
      </w:r>
      <w:r>
        <w:rPr>
          <w:rFonts w:hint="eastAsia" w:hAnsi="宋体"/>
          <w:sz w:val="24"/>
          <w:szCs w:val="24"/>
          <w:highlight w:val="none"/>
          <w:lang w:val="en-US" w:eastAsia="zh-CN"/>
        </w:rPr>
        <w:t>中选</w:t>
      </w:r>
      <w:r>
        <w:rPr>
          <w:rFonts w:hint="eastAsia" w:eastAsia="宋体"/>
          <w:bCs/>
          <w:sz w:val="24"/>
          <w:szCs w:val="21"/>
          <w:highlight w:val="none"/>
        </w:rPr>
        <w:t>供应商</w:t>
      </w:r>
      <w:r>
        <w:rPr>
          <w:rFonts w:hint="eastAsia" w:hAnsi="宋体"/>
          <w:sz w:val="24"/>
          <w:szCs w:val="24"/>
          <w:highlight w:val="none"/>
        </w:rPr>
        <w:t>应在接到</w:t>
      </w:r>
      <w:r>
        <w:rPr>
          <w:rFonts w:hint="eastAsia" w:hAnsi="宋体"/>
          <w:sz w:val="24"/>
          <w:szCs w:val="24"/>
          <w:highlight w:val="none"/>
          <w:lang w:val="en-US" w:eastAsia="zh-CN"/>
        </w:rPr>
        <w:t>采购人</w:t>
      </w:r>
      <w:r>
        <w:rPr>
          <w:rFonts w:hint="eastAsia" w:hAnsi="宋体"/>
          <w:sz w:val="24"/>
          <w:szCs w:val="24"/>
          <w:highlight w:val="none"/>
        </w:rPr>
        <w:t xml:space="preserve">技术支持请求后的2小时内响应，并提供解决方案。 </w:t>
      </w:r>
    </w:p>
    <w:p w14:paraId="19C4E253">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1.</w:t>
      </w:r>
      <w:r>
        <w:rPr>
          <w:rFonts w:hint="eastAsia" w:hAnsi="宋体"/>
          <w:sz w:val="24"/>
          <w:szCs w:val="24"/>
          <w:highlight w:val="none"/>
        </w:rPr>
        <w:t>2维护服务</w:t>
      </w:r>
    </w:p>
    <w:p w14:paraId="27EFD62A">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1.</w:t>
      </w:r>
      <w:r>
        <w:rPr>
          <w:rFonts w:hint="eastAsia" w:hAnsi="宋体"/>
          <w:sz w:val="24"/>
          <w:szCs w:val="24"/>
          <w:highlight w:val="none"/>
        </w:rPr>
        <w:t>2.1</w:t>
      </w:r>
      <w:r>
        <w:rPr>
          <w:rFonts w:hint="eastAsia" w:hAnsi="宋体"/>
          <w:sz w:val="24"/>
          <w:szCs w:val="24"/>
          <w:highlight w:val="none"/>
          <w:lang w:val="en-US" w:eastAsia="zh-CN"/>
        </w:rPr>
        <w:t>中选</w:t>
      </w:r>
      <w:r>
        <w:rPr>
          <w:rFonts w:hint="eastAsia" w:eastAsia="宋体"/>
          <w:bCs/>
          <w:sz w:val="24"/>
          <w:szCs w:val="21"/>
          <w:highlight w:val="none"/>
        </w:rPr>
        <w:t>供应商</w:t>
      </w:r>
      <w:r>
        <w:rPr>
          <w:rFonts w:hint="eastAsia" w:hAnsi="宋体"/>
          <w:sz w:val="24"/>
          <w:szCs w:val="24"/>
          <w:highlight w:val="none"/>
        </w:rPr>
        <w:t>承诺在软件产品</w:t>
      </w:r>
      <w:r>
        <w:rPr>
          <w:rFonts w:hint="eastAsia" w:hAnsi="宋体"/>
          <w:sz w:val="24"/>
          <w:szCs w:val="24"/>
          <w:highlight w:val="none"/>
          <w:lang w:val="en-US" w:eastAsia="zh-CN"/>
        </w:rPr>
        <w:t>验收</w:t>
      </w:r>
      <w:r>
        <w:rPr>
          <w:rFonts w:hint="eastAsia" w:hAnsi="宋体"/>
          <w:sz w:val="24"/>
          <w:szCs w:val="24"/>
          <w:highlight w:val="none"/>
        </w:rPr>
        <w:t>交付后提供为期</w:t>
      </w:r>
      <w:r>
        <w:rPr>
          <w:rFonts w:hint="eastAsia" w:hAnsi="宋体"/>
          <w:sz w:val="24"/>
          <w:szCs w:val="24"/>
          <w:highlight w:val="none"/>
          <w:lang w:val="en-US" w:eastAsia="zh-CN"/>
        </w:rPr>
        <w:t>不少于</w:t>
      </w:r>
      <w:r>
        <w:rPr>
          <w:rFonts w:hint="eastAsia" w:hAnsi="宋体"/>
          <w:sz w:val="24"/>
          <w:szCs w:val="24"/>
          <w:highlight w:val="none"/>
        </w:rPr>
        <w:t>一年的免费维护服务。</w:t>
      </w:r>
    </w:p>
    <w:p w14:paraId="27132C00">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1.</w:t>
      </w:r>
      <w:r>
        <w:rPr>
          <w:rFonts w:hint="eastAsia" w:hAnsi="宋体"/>
          <w:sz w:val="24"/>
          <w:szCs w:val="24"/>
          <w:highlight w:val="none"/>
        </w:rPr>
        <w:t xml:space="preserve">2.2维护服务包括软件产品的错误修复、功能优化等。 </w:t>
      </w:r>
    </w:p>
    <w:p w14:paraId="08908089">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1.</w:t>
      </w:r>
      <w:r>
        <w:rPr>
          <w:rFonts w:hint="eastAsia" w:hAnsi="宋体"/>
          <w:sz w:val="24"/>
          <w:szCs w:val="24"/>
          <w:highlight w:val="none"/>
        </w:rPr>
        <w:t>2.3</w:t>
      </w:r>
      <w:r>
        <w:rPr>
          <w:rFonts w:hint="eastAsia" w:hAnsi="宋体"/>
          <w:sz w:val="24"/>
          <w:szCs w:val="24"/>
          <w:highlight w:val="none"/>
          <w:lang w:val="en-US" w:eastAsia="zh-CN"/>
        </w:rPr>
        <w:t>中选</w:t>
      </w:r>
      <w:r>
        <w:rPr>
          <w:rFonts w:hint="eastAsia" w:eastAsia="宋体"/>
          <w:bCs/>
          <w:sz w:val="24"/>
          <w:szCs w:val="21"/>
          <w:highlight w:val="none"/>
        </w:rPr>
        <w:t>供应商</w:t>
      </w:r>
      <w:r>
        <w:rPr>
          <w:rFonts w:hint="eastAsia" w:hAnsi="宋体"/>
          <w:sz w:val="24"/>
          <w:szCs w:val="24"/>
          <w:highlight w:val="none"/>
        </w:rPr>
        <w:t xml:space="preserve">应在发觉软件产品存在严重错误后的24小时内提供修复方案。 </w:t>
      </w:r>
    </w:p>
    <w:p w14:paraId="14198080">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1.</w:t>
      </w:r>
      <w:r>
        <w:rPr>
          <w:rFonts w:hint="eastAsia" w:hAnsi="宋体"/>
          <w:sz w:val="24"/>
          <w:szCs w:val="24"/>
          <w:highlight w:val="none"/>
        </w:rPr>
        <w:t>3升级服务</w:t>
      </w:r>
    </w:p>
    <w:p w14:paraId="62246F50">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1.</w:t>
      </w:r>
      <w:r>
        <w:rPr>
          <w:rFonts w:hint="eastAsia" w:hAnsi="宋体"/>
          <w:sz w:val="24"/>
          <w:szCs w:val="24"/>
          <w:highlight w:val="none"/>
        </w:rPr>
        <w:t>3.1</w:t>
      </w:r>
      <w:r>
        <w:rPr>
          <w:rFonts w:hint="eastAsia" w:hAnsi="宋体"/>
          <w:sz w:val="24"/>
          <w:szCs w:val="24"/>
          <w:highlight w:val="none"/>
          <w:lang w:val="en-US" w:eastAsia="zh-CN"/>
        </w:rPr>
        <w:t>中选</w:t>
      </w:r>
      <w:r>
        <w:rPr>
          <w:rFonts w:hint="eastAsia" w:eastAsia="宋体"/>
          <w:bCs/>
          <w:sz w:val="24"/>
          <w:szCs w:val="21"/>
          <w:highlight w:val="none"/>
        </w:rPr>
        <w:t>供应商</w:t>
      </w:r>
      <w:r>
        <w:rPr>
          <w:rFonts w:hint="eastAsia" w:hAnsi="宋体"/>
          <w:sz w:val="24"/>
          <w:szCs w:val="24"/>
          <w:highlight w:val="none"/>
        </w:rPr>
        <w:t>承诺在软件产品</w:t>
      </w:r>
      <w:r>
        <w:rPr>
          <w:rFonts w:hint="eastAsia" w:hAnsi="宋体"/>
          <w:sz w:val="24"/>
          <w:szCs w:val="24"/>
          <w:highlight w:val="none"/>
          <w:lang w:val="en-US" w:eastAsia="zh-CN"/>
        </w:rPr>
        <w:t>验收</w:t>
      </w:r>
      <w:r>
        <w:rPr>
          <w:rFonts w:hint="eastAsia" w:hAnsi="宋体"/>
          <w:sz w:val="24"/>
          <w:szCs w:val="24"/>
          <w:highlight w:val="none"/>
        </w:rPr>
        <w:t>交付后提供为期</w:t>
      </w:r>
      <w:r>
        <w:rPr>
          <w:rFonts w:hint="eastAsia" w:hAnsi="宋体"/>
          <w:sz w:val="24"/>
          <w:szCs w:val="24"/>
          <w:highlight w:val="none"/>
          <w:lang w:val="en-US" w:eastAsia="zh-CN"/>
        </w:rPr>
        <w:t>不少于</w:t>
      </w:r>
      <w:r>
        <w:rPr>
          <w:rFonts w:hint="eastAsia" w:hAnsi="宋体"/>
          <w:sz w:val="24"/>
          <w:szCs w:val="24"/>
          <w:highlight w:val="none"/>
        </w:rPr>
        <w:t>一年的免费升级服务。</w:t>
      </w:r>
    </w:p>
    <w:p w14:paraId="0B1A625F">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1.</w:t>
      </w:r>
      <w:r>
        <w:rPr>
          <w:rFonts w:hint="eastAsia" w:hAnsi="宋体"/>
          <w:sz w:val="24"/>
          <w:szCs w:val="24"/>
          <w:highlight w:val="none"/>
        </w:rPr>
        <w:t>3.2升级服务包括软件产品的功能更新、功能提升等。</w:t>
      </w:r>
    </w:p>
    <w:p w14:paraId="5B393DD2">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1.</w:t>
      </w:r>
      <w:r>
        <w:rPr>
          <w:rFonts w:hint="eastAsia" w:hAnsi="宋体"/>
          <w:sz w:val="24"/>
          <w:szCs w:val="24"/>
          <w:highlight w:val="none"/>
        </w:rPr>
        <w:t>3.3</w:t>
      </w:r>
      <w:r>
        <w:rPr>
          <w:rFonts w:hint="eastAsia" w:hAnsi="宋体"/>
          <w:sz w:val="24"/>
          <w:szCs w:val="24"/>
          <w:highlight w:val="none"/>
          <w:lang w:val="en-US" w:eastAsia="zh-CN"/>
        </w:rPr>
        <w:t>中选</w:t>
      </w:r>
      <w:r>
        <w:rPr>
          <w:rFonts w:hint="eastAsia" w:eastAsia="宋体"/>
          <w:bCs/>
          <w:sz w:val="24"/>
          <w:szCs w:val="21"/>
          <w:highlight w:val="none"/>
        </w:rPr>
        <w:t>供应商</w:t>
      </w:r>
      <w:r>
        <w:rPr>
          <w:rFonts w:hint="eastAsia" w:hAnsi="宋体"/>
          <w:sz w:val="24"/>
          <w:szCs w:val="24"/>
          <w:highlight w:val="none"/>
        </w:rPr>
        <w:t>应在每次升级发布后及时通知</w:t>
      </w:r>
      <w:r>
        <w:rPr>
          <w:rFonts w:hint="eastAsia" w:hAnsi="宋体"/>
          <w:sz w:val="24"/>
          <w:szCs w:val="24"/>
          <w:highlight w:val="none"/>
          <w:lang w:val="en-US" w:eastAsia="zh-CN"/>
        </w:rPr>
        <w:t>采购人</w:t>
      </w:r>
      <w:r>
        <w:rPr>
          <w:rFonts w:hint="eastAsia" w:hAnsi="宋体"/>
          <w:sz w:val="24"/>
          <w:szCs w:val="24"/>
          <w:highlight w:val="none"/>
        </w:rPr>
        <w:t>，并提供升级方案。</w:t>
      </w:r>
    </w:p>
    <w:p w14:paraId="791EC1FE">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2.</w:t>
      </w:r>
      <w:r>
        <w:rPr>
          <w:rFonts w:hint="eastAsia" w:hAnsi="宋体"/>
          <w:sz w:val="24"/>
          <w:szCs w:val="24"/>
          <w:highlight w:val="none"/>
        </w:rPr>
        <w:t>售后服务流程</w:t>
      </w:r>
    </w:p>
    <w:p w14:paraId="7BF3965D">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2</w:t>
      </w:r>
      <w:r>
        <w:rPr>
          <w:rFonts w:hint="eastAsia" w:hAnsi="宋体"/>
          <w:sz w:val="24"/>
          <w:szCs w:val="24"/>
          <w:highlight w:val="none"/>
        </w:rPr>
        <w:t>.1</w:t>
      </w:r>
      <w:r>
        <w:rPr>
          <w:rFonts w:hint="eastAsia" w:hAnsi="宋体"/>
          <w:sz w:val="24"/>
          <w:szCs w:val="24"/>
          <w:highlight w:val="none"/>
          <w:lang w:val="en-US" w:eastAsia="zh-CN"/>
        </w:rPr>
        <w:t>采购人</w:t>
      </w:r>
      <w:r>
        <w:rPr>
          <w:rFonts w:hint="eastAsia" w:hAnsi="宋体"/>
          <w:sz w:val="24"/>
          <w:szCs w:val="24"/>
          <w:highlight w:val="none"/>
        </w:rPr>
        <w:t>在使用软件产品过程中遇到问题时，可通过以下方式向</w:t>
      </w:r>
      <w:r>
        <w:rPr>
          <w:rFonts w:hint="eastAsia" w:hAnsi="宋体"/>
          <w:sz w:val="24"/>
          <w:szCs w:val="24"/>
          <w:highlight w:val="none"/>
          <w:lang w:val="en-US" w:eastAsia="zh-CN"/>
        </w:rPr>
        <w:t>中选</w:t>
      </w:r>
      <w:r>
        <w:rPr>
          <w:rFonts w:hint="eastAsia" w:eastAsia="宋体"/>
          <w:bCs/>
          <w:sz w:val="24"/>
          <w:szCs w:val="21"/>
          <w:highlight w:val="none"/>
        </w:rPr>
        <w:t>供应商</w:t>
      </w:r>
      <w:r>
        <w:rPr>
          <w:rFonts w:hint="eastAsia" w:hAnsi="宋体"/>
          <w:sz w:val="24"/>
          <w:szCs w:val="24"/>
          <w:highlight w:val="none"/>
          <w:lang w:val="en-US" w:eastAsia="zh-CN"/>
        </w:rPr>
        <w:t>提出售后服务</w:t>
      </w:r>
      <w:r>
        <w:rPr>
          <w:rFonts w:hint="eastAsia" w:hAnsi="宋体"/>
          <w:sz w:val="24"/>
          <w:szCs w:val="24"/>
          <w:highlight w:val="none"/>
        </w:rPr>
        <w:t xml:space="preserve">请求: </w:t>
      </w:r>
    </w:p>
    <w:p w14:paraId="7E087C3E">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2</w:t>
      </w:r>
      <w:r>
        <w:rPr>
          <w:rFonts w:hint="eastAsia" w:hAnsi="宋体"/>
          <w:sz w:val="24"/>
          <w:szCs w:val="24"/>
          <w:highlight w:val="none"/>
        </w:rPr>
        <w:t>.1.1电话:拨打</w:t>
      </w:r>
      <w:r>
        <w:rPr>
          <w:rFonts w:hint="eastAsia" w:hAnsi="宋体"/>
          <w:sz w:val="24"/>
          <w:szCs w:val="24"/>
          <w:highlight w:val="none"/>
          <w:lang w:val="en-US" w:eastAsia="zh-CN"/>
        </w:rPr>
        <w:t>中选供应商</w:t>
      </w:r>
      <w:r>
        <w:rPr>
          <w:rFonts w:hint="eastAsia" w:hAnsi="宋体"/>
          <w:sz w:val="24"/>
          <w:szCs w:val="24"/>
          <w:highlight w:val="none"/>
        </w:rPr>
        <w:t>提供的售后服务电话。</w:t>
      </w:r>
    </w:p>
    <w:p w14:paraId="1600211C">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2</w:t>
      </w:r>
      <w:r>
        <w:rPr>
          <w:rFonts w:hint="eastAsia" w:hAnsi="宋体"/>
          <w:sz w:val="24"/>
          <w:szCs w:val="24"/>
          <w:highlight w:val="none"/>
        </w:rPr>
        <w:t>.1.2邮件:发送邮件至</w:t>
      </w:r>
      <w:r>
        <w:rPr>
          <w:rFonts w:hint="eastAsia" w:hAnsi="宋体"/>
          <w:sz w:val="24"/>
          <w:szCs w:val="24"/>
          <w:highlight w:val="none"/>
          <w:lang w:val="en-US" w:eastAsia="zh-CN"/>
        </w:rPr>
        <w:t>中选供应商</w:t>
      </w:r>
      <w:r>
        <w:rPr>
          <w:rFonts w:hint="eastAsia" w:hAnsi="宋体"/>
          <w:sz w:val="24"/>
          <w:szCs w:val="24"/>
          <w:highlight w:val="none"/>
        </w:rPr>
        <w:t>提供的售后服务邮箱。</w:t>
      </w:r>
    </w:p>
    <w:p w14:paraId="04DA4B0D">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2</w:t>
      </w:r>
      <w:r>
        <w:rPr>
          <w:rFonts w:hint="eastAsia" w:hAnsi="宋体"/>
          <w:sz w:val="24"/>
          <w:szCs w:val="24"/>
          <w:highlight w:val="none"/>
        </w:rPr>
        <w:t>.1.3在线聊天:通过</w:t>
      </w:r>
      <w:r>
        <w:rPr>
          <w:rFonts w:hint="eastAsia" w:hAnsi="宋体"/>
          <w:sz w:val="24"/>
          <w:szCs w:val="24"/>
          <w:highlight w:val="none"/>
          <w:lang w:val="en-US" w:eastAsia="zh-CN"/>
        </w:rPr>
        <w:t>中选供应商</w:t>
      </w:r>
      <w:r>
        <w:rPr>
          <w:rFonts w:hint="eastAsia" w:hAnsi="宋体"/>
          <w:sz w:val="24"/>
          <w:szCs w:val="24"/>
          <w:highlight w:val="none"/>
        </w:rPr>
        <w:t>提供的在线聊天工具进行咨询。</w:t>
      </w:r>
    </w:p>
    <w:p w14:paraId="3C1B4F18">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2</w:t>
      </w:r>
      <w:r>
        <w:rPr>
          <w:rFonts w:hint="eastAsia" w:hAnsi="宋体"/>
          <w:sz w:val="24"/>
          <w:szCs w:val="24"/>
          <w:highlight w:val="none"/>
        </w:rPr>
        <w:t>.2</w:t>
      </w:r>
      <w:r>
        <w:rPr>
          <w:rFonts w:hint="eastAsia"/>
          <w:bCs/>
          <w:sz w:val="24"/>
          <w:szCs w:val="21"/>
          <w:highlight w:val="none"/>
          <w:lang w:eastAsia="zh-CN"/>
        </w:rPr>
        <w:t>中选供应商</w:t>
      </w:r>
      <w:r>
        <w:rPr>
          <w:rFonts w:hint="eastAsia" w:hAnsi="宋体"/>
          <w:sz w:val="24"/>
          <w:szCs w:val="24"/>
          <w:highlight w:val="none"/>
        </w:rPr>
        <w:t>在接到</w:t>
      </w:r>
      <w:r>
        <w:rPr>
          <w:rFonts w:hint="eastAsia" w:hAnsi="宋体"/>
          <w:sz w:val="24"/>
          <w:szCs w:val="24"/>
          <w:highlight w:val="none"/>
          <w:lang w:val="en-US" w:eastAsia="zh-CN"/>
        </w:rPr>
        <w:t>采购人</w:t>
      </w:r>
      <w:r>
        <w:rPr>
          <w:rFonts w:hint="eastAsia" w:hAnsi="宋体"/>
          <w:sz w:val="24"/>
          <w:szCs w:val="24"/>
          <w:highlight w:val="none"/>
        </w:rPr>
        <w:t>的售后服务请求后，应按照以下流程进行服务:</w:t>
      </w:r>
    </w:p>
    <w:p w14:paraId="575990EF">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2</w:t>
      </w:r>
      <w:r>
        <w:rPr>
          <w:rFonts w:hint="eastAsia" w:hAnsi="宋体"/>
          <w:sz w:val="24"/>
          <w:szCs w:val="24"/>
          <w:highlight w:val="none"/>
        </w:rPr>
        <w:t>.2.1确认</w:t>
      </w:r>
      <w:r>
        <w:rPr>
          <w:rFonts w:hint="eastAsia" w:hAnsi="宋体"/>
          <w:sz w:val="24"/>
          <w:szCs w:val="24"/>
          <w:highlight w:val="none"/>
          <w:lang w:val="en-US" w:eastAsia="zh-CN"/>
        </w:rPr>
        <w:t>采购人</w:t>
      </w:r>
      <w:r>
        <w:rPr>
          <w:rFonts w:hint="eastAsia" w:hAnsi="宋体"/>
          <w:sz w:val="24"/>
          <w:szCs w:val="24"/>
          <w:highlight w:val="none"/>
        </w:rPr>
        <w:t>身份:</w:t>
      </w:r>
      <w:r>
        <w:rPr>
          <w:rFonts w:hint="eastAsia"/>
          <w:bCs/>
          <w:sz w:val="24"/>
          <w:szCs w:val="21"/>
          <w:highlight w:val="none"/>
          <w:lang w:eastAsia="zh-CN"/>
        </w:rPr>
        <w:t>中选供应商</w:t>
      </w:r>
      <w:r>
        <w:rPr>
          <w:rFonts w:hint="eastAsia" w:hAnsi="宋体"/>
          <w:sz w:val="24"/>
          <w:szCs w:val="24"/>
          <w:highlight w:val="none"/>
        </w:rPr>
        <w:t>应在接到请求后立即确认</w:t>
      </w:r>
      <w:r>
        <w:rPr>
          <w:rFonts w:hint="eastAsia" w:hAnsi="宋体"/>
          <w:sz w:val="24"/>
          <w:szCs w:val="24"/>
          <w:highlight w:val="none"/>
          <w:lang w:val="en-US" w:eastAsia="zh-CN"/>
        </w:rPr>
        <w:t>采购人</w:t>
      </w:r>
      <w:r>
        <w:rPr>
          <w:rFonts w:hint="eastAsia" w:hAnsi="宋体"/>
          <w:sz w:val="24"/>
          <w:szCs w:val="24"/>
          <w:highlight w:val="none"/>
        </w:rPr>
        <w:t xml:space="preserve">身份，保证服务请求的合法性。 </w:t>
      </w:r>
    </w:p>
    <w:p w14:paraId="6C20CEF3">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2</w:t>
      </w:r>
      <w:r>
        <w:rPr>
          <w:rFonts w:hint="eastAsia" w:hAnsi="宋体"/>
          <w:sz w:val="24"/>
          <w:szCs w:val="24"/>
          <w:highlight w:val="none"/>
        </w:rPr>
        <w:t>.2.2分类处理</w:t>
      </w:r>
      <w:r>
        <w:rPr>
          <w:rFonts w:hint="eastAsia" w:hAnsi="宋体"/>
          <w:sz w:val="24"/>
          <w:szCs w:val="24"/>
          <w:highlight w:val="none"/>
          <w:lang w:eastAsia="zh-CN"/>
        </w:rPr>
        <w:t>：</w:t>
      </w:r>
      <w:r>
        <w:rPr>
          <w:rFonts w:hint="eastAsia"/>
          <w:bCs/>
          <w:sz w:val="24"/>
          <w:szCs w:val="21"/>
          <w:highlight w:val="none"/>
          <w:lang w:eastAsia="zh-CN"/>
        </w:rPr>
        <w:t>中选供应商</w:t>
      </w:r>
      <w:r>
        <w:rPr>
          <w:rFonts w:hint="eastAsia" w:hAnsi="宋体"/>
          <w:sz w:val="24"/>
          <w:szCs w:val="24"/>
          <w:highlight w:val="none"/>
        </w:rPr>
        <w:t>应根据</w:t>
      </w:r>
      <w:r>
        <w:rPr>
          <w:rFonts w:hint="eastAsia" w:hAnsi="宋体"/>
          <w:sz w:val="24"/>
          <w:szCs w:val="24"/>
          <w:highlight w:val="none"/>
          <w:lang w:val="en-US" w:eastAsia="zh-CN"/>
        </w:rPr>
        <w:t>采购人</w:t>
      </w:r>
      <w:r>
        <w:rPr>
          <w:rFonts w:hint="eastAsia" w:hAnsi="宋体"/>
          <w:sz w:val="24"/>
          <w:szCs w:val="24"/>
          <w:highlight w:val="none"/>
        </w:rPr>
        <w:t xml:space="preserve">提出的问题类型，将其分类为技术支持、维护或升级服务。 </w:t>
      </w:r>
    </w:p>
    <w:p w14:paraId="3717FAC6">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2</w:t>
      </w:r>
      <w:r>
        <w:rPr>
          <w:rFonts w:hint="eastAsia" w:hAnsi="宋体"/>
          <w:sz w:val="24"/>
          <w:szCs w:val="24"/>
          <w:highlight w:val="none"/>
        </w:rPr>
        <w:t>.2.3提供服务:</w:t>
      </w:r>
      <w:r>
        <w:rPr>
          <w:rFonts w:hint="eastAsia"/>
          <w:bCs/>
          <w:sz w:val="24"/>
          <w:szCs w:val="21"/>
          <w:highlight w:val="none"/>
          <w:lang w:eastAsia="zh-CN"/>
        </w:rPr>
        <w:t>中选供应商</w:t>
      </w:r>
      <w:r>
        <w:rPr>
          <w:rFonts w:hint="eastAsia" w:hAnsi="宋体"/>
          <w:sz w:val="24"/>
          <w:szCs w:val="24"/>
          <w:highlight w:val="none"/>
        </w:rPr>
        <w:t xml:space="preserve">应根据分类结果，提供相应的售后服务。 </w:t>
      </w:r>
    </w:p>
    <w:p w14:paraId="743AAFB5">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2</w:t>
      </w:r>
      <w:r>
        <w:rPr>
          <w:rFonts w:hint="eastAsia" w:hAnsi="宋体"/>
          <w:sz w:val="24"/>
          <w:szCs w:val="24"/>
          <w:highlight w:val="none"/>
        </w:rPr>
        <w:t>.2.4跟进与反馈:</w:t>
      </w:r>
      <w:r>
        <w:rPr>
          <w:rFonts w:hint="eastAsia"/>
          <w:bCs/>
          <w:sz w:val="24"/>
          <w:szCs w:val="21"/>
          <w:highlight w:val="none"/>
          <w:lang w:eastAsia="zh-CN"/>
        </w:rPr>
        <w:t>中选供应商</w:t>
      </w:r>
      <w:r>
        <w:rPr>
          <w:rFonts w:hint="eastAsia" w:hAnsi="宋体"/>
          <w:sz w:val="24"/>
          <w:szCs w:val="24"/>
          <w:highlight w:val="none"/>
        </w:rPr>
        <w:t>应在</w:t>
      </w:r>
      <w:r>
        <w:rPr>
          <w:rFonts w:hint="eastAsia" w:hAnsi="宋体"/>
          <w:sz w:val="24"/>
          <w:szCs w:val="24"/>
          <w:highlight w:val="none"/>
          <w:lang w:val="en-US" w:eastAsia="zh-CN"/>
        </w:rPr>
        <w:t>服</w:t>
      </w:r>
      <w:r>
        <w:rPr>
          <w:rFonts w:hint="eastAsia" w:hAnsi="宋体"/>
          <w:sz w:val="24"/>
          <w:szCs w:val="24"/>
          <w:highlight w:val="none"/>
        </w:rPr>
        <w:t>务过程中与</w:t>
      </w:r>
      <w:r>
        <w:rPr>
          <w:rFonts w:hint="eastAsia" w:hAnsi="宋体"/>
          <w:sz w:val="24"/>
          <w:szCs w:val="24"/>
          <w:highlight w:val="none"/>
          <w:lang w:val="en-US" w:eastAsia="zh-CN"/>
        </w:rPr>
        <w:t>采购人</w:t>
      </w:r>
      <w:r>
        <w:rPr>
          <w:rFonts w:hint="eastAsia" w:hAnsi="宋体"/>
          <w:sz w:val="24"/>
          <w:szCs w:val="24"/>
          <w:highlight w:val="none"/>
        </w:rPr>
        <w:t>保持沟通，及时了解</w:t>
      </w:r>
      <w:r>
        <w:rPr>
          <w:rFonts w:hint="eastAsia" w:hAnsi="宋体"/>
          <w:sz w:val="24"/>
          <w:szCs w:val="24"/>
          <w:highlight w:val="none"/>
          <w:lang w:val="en-US" w:eastAsia="zh-CN"/>
        </w:rPr>
        <w:t>采购人</w:t>
      </w:r>
      <w:r>
        <w:rPr>
          <w:rFonts w:hint="eastAsia" w:hAnsi="宋体"/>
          <w:sz w:val="24"/>
          <w:szCs w:val="24"/>
          <w:highlight w:val="none"/>
        </w:rPr>
        <w:t xml:space="preserve">需求，保证服务质量。 </w:t>
      </w:r>
    </w:p>
    <w:p w14:paraId="5F98C30D">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3.</w:t>
      </w:r>
      <w:r>
        <w:rPr>
          <w:rFonts w:hint="eastAsia" w:hAnsi="宋体"/>
          <w:sz w:val="24"/>
          <w:szCs w:val="24"/>
          <w:highlight w:val="none"/>
        </w:rPr>
        <w:t>售后服务承诺</w:t>
      </w:r>
    </w:p>
    <w:p w14:paraId="204966DB">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3</w:t>
      </w:r>
      <w:r>
        <w:rPr>
          <w:rFonts w:hint="eastAsia" w:hAnsi="宋体"/>
          <w:sz w:val="24"/>
          <w:szCs w:val="24"/>
          <w:highlight w:val="none"/>
        </w:rPr>
        <w:t>.1</w:t>
      </w:r>
      <w:r>
        <w:rPr>
          <w:rFonts w:hint="eastAsia"/>
          <w:bCs/>
          <w:sz w:val="24"/>
          <w:szCs w:val="21"/>
          <w:highlight w:val="none"/>
          <w:lang w:eastAsia="zh-CN"/>
        </w:rPr>
        <w:t>中选供应商</w:t>
      </w:r>
      <w:r>
        <w:rPr>
          <w:rFonts w:hint="eastAsia" w:hAnsi="宋体"/>
          <w:sz w:val="24"/>
          <w:szCs w:val="24"/>
          <w:highlight w:val="none"/>
        </w:rPr>
        <w:t>承诺提供优质的售后服务，保证软件产品的稳定运行。</w:t>
      </w:r>
    </w:p>
    <w:p w14:paraId="096BB8F5">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3</w:t>
      </w:r>
      <w:r>
        <w:rPr>
          <w:rFonts w:hint="eastAsia" w:hAnsi="宋体"/>
          <w:sz w:val="24"/>
          <w:szCs w:val="24"/>
          <w:highlight w:val="none"/>
        </w:rPr>
        <w:t>.2</w:t>
      </w:r>
      <w:r>
        <w:rPr>
          <w:rFonts w:hint="eastAsia"/>
          <w:bCs/>
          <w:sz w:val="24"/>
          <w:szCs w:val="21"/>
          <w:highlight w:val="none"/>
          <w:lang w:eastAsia="zh-CN"/>
        </w:rPr>
        <w:t>中选供应商</w:t>
      </w:r>
      <w:r>
        <w:rPr>
          <w:rFonts w:hint="eastAsia" w:hAnsi="宋体"/>
          <w:sz w:val="24"/>
          <w:szCs w:val="24"/>
          <w:highlight w:val="none"/>
        </w:rPr>
        <w:t>承诺在售后服务期间，不断优化服务流程，提高服务效率。</w:t>
      </w:r>
    </w:p>
    <w:p w14:paraId="01FCF7F3">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3</w:t>
      </w:r>
      <w:r>
        <w:rPr>
          <w:rFonts w:hint="eastAsia" w:hAnsi="宋体"/>
          <w:sz w:val="24"/>
          <w:szCs w:val="24"/>
          <w:highlight w:val="none"/>
        </w:rPr>
        <w:t>.3</w:t>
      </w:r>
      <w:r>
        <w:rPr>
          <w:rFonts w:hint="eastAsia"/>
          <w:bCs/>
          <w:sz w:val="24"/>
          <w:szCs w:val="21"/>
          <w:highlight w:val="none"/>
          <w:lang w:eastAsia="zh-CN"/>
        </w:rPr>
        <w:t>中选供应商</w:t>
      </w:r>
      <w:r>
        <w:rPr>
          <w:rFonts w:hint="eastAsia" w:hAnsi="宋体"/>
          <w:sz w:val="24"/>
          <w:szCs w:val="24"/>
          <w:highlight w:val="none"/>
        </w:rPr>
        <w:t>承诺对</w:t>
      </w:r>
      <w:r>
        <w:rPr>
          <w:rFonts w:hint="eastAsia" w:hAnsi="宋体"/>
          <w:sz w:val="24"/>
          <w:szCs w:val="24"/>
          <w:highlight w:val="none"/>
          <w:lang w:val="en-US" w:eastAsia="zh-CN"/>
        </w:rPr>
        <w:t>采购人</w:t>
      </w:r>
      <w:r>
        <w:rPr>
          <w:rFonts w:hint="eastAsia" w:hAnsi="宋体"/>
          <w:sz w:val="24"/>
          <w:szCs w:val="24"/>
          <w:highlight w:val="none"/>
        </w:rPr>
        <w:t>的隐私信息进行保密，不得泄露给第三方。</w:t>
      </w:r>
    </w:p>
    <w:p w14:paraId="715D1060">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4.</w:t>
      </w:r>
      <w:r>
        <w:rPr>
          <w:rFonts w:hint="eastAsia" w:hAnsi="宋体"/>
          <w:sz w:val="24"/>
          <w:szCs w:val="24"/>
          <w:highlight w:val="none"/>
        </w:rPr>
        <w:t>服务质量保证</w:t>
      </w:r>
    </w:p>
    <w:p w14:paraId="2D9FB801">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4</w:t>
      </w:r>
      <w:r>
        <w:rPr>
          <w:rFonts w:hint="eastAsia" w:hAnsi="宋体"/>
          <w:sz w:val="24"/>
          <w:szCs w:val="24"/>
          <w:highlight w:val="none"/>
        </w:rPr>
        <w:t>.1</w:t>
      </w:r>
      <w:r>
        <w:rPr>
          <w:rFonts w:hint="eastAsia"/>
          <w:bCs/>
          <w:sz w:val="24"/>
          <w:szCs w:val="21"/>
          <w:highlight w:val="none"/>
          <w:lang w:eastAsia="zh-CN"/>
        </w:rPr>
        <w:t>中选供应商</w:t>
      </w:r>
      <w:r>
        <w:rPr>
          <w:rFonts w:hint="eastAsia" w:hAnsi="宋体"/>
          <w:sz w:val="24"/>
          <w:szCs w:val="24"/>
          <w:highlight w:val="none"/>
        </w:rPr>
        <w:t>应保证所提供售后服务的质量符合行业标准和技术规范。</w:t>
      </w:r>
    </w:p>
    <w:p w14:paraId="3591D415">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4</w:t>
      </w:r>
      <w:r>
        <w:rPr>
          <w:rFonts w:hint="eastAsia" w:hAnsi="宋体"/>
          <w:sz w:val="24"/>
          <w:szCs w:val="24"/>
          <w:highlight w:val="none"/>
        </w:rPr>
        <w:t>.1.1</w:t>
      </w:r>
      <w:r>
        <w:rPr>
          <w:rFonts w:hint="eastAsia"/>
          <w:bCs/>
          <w:sz w:val="24"/>
          <w:szCs w:val="21"/>
          <w:highlight w:val="none"/>
          <w:lang w:eastAsia="zh-CN"/>
        </w:rPr>
        <w:t>中选供应商</w:t>
      </w:r>
      <w:r>
        <w:rPr>
          <w:rFonts w:hint="eastAsia" w:hAnsi="宋体"/>
          <w:sz w:val="24"/>
          <w:szCs w:val="24"/>
          <w:highlight w:val="none"/>
        </w:rPr>
        <w:t>将定期对服务人员进行培训，保证其具备解决</w:t>
      </w:r>
      <w:r>
        <w:rPr>
          <w:rFonts w:hint="eastAsia" w:hAnsi="宋体"/>
          <w:sz w:val="24"/>
          <w:szCs w:val="24"/>
          <w:highlight w:val="none"/>
          <w:lang w:val="en-US" w:eastAsia="zh-CN"/>
        </w:rPr>
        <w:t>采购人</w:t>
      </w:r>
      <w:r>
        <w:rPr>
          <w:rFonts w:hint="eastAsia" w:hAnsi="宋体"/>
          <w:sz w:val="24"/>
          <w:szCs w:val="24"/>
          <w:highlight w:val="none"/>
        </w:rPr>
        <w:t>问题的能力。</w:t>
      </w:r>
    </w:p>
    <w:p w14:paraId="356060A6">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4</w:t>
      </w:r>
      <w:r>
        <w:rPr>
          <w:rFonts w:hint="eastAsia" w:hAnsi="宋体"/>
          <w:sz w:val="24"/>
          <w:szCs w:val="24"/>
          <w:highlight w:val="none"/>
        </w:rPr>
        <w:t>.1.2</w:t>
      </w:r>
      <w:r>
        <w:rPr>
          <w:rFonts w:hint="eastAsia"/>
          <w:bCs/>
          <w:sz w:val="24"/>
          <w:szCs w:val="21"/>
          <w:highlight w:val="none"/>
          <w:lang w:eastAsia="zh-CN"/>
        </w:rPr>
        <w:t>中选供应商</w:t>
      </w:r>
      <w:r>
        <w:rPr>
          <w:rFonts w:hint="eastAsia" w:hAnsi="宋体"/>
          <w:sz w:val="24"/>
          <w:szCs w:val="24"/>
          <w:highlight w:val="none"/>
        </w:rPr>
        <w:t>将建立服务质量评价体系，定期收集</w:t>
      </w:r>
      <w:r>
        <w:rPr>
          <w:rFonts w:hint="eastAsia" w:hAnsi="宋体"/>
          <w:sz w:val="24"/>
          <w:szCs w:val="24"/>
          <w:highlight w:val="none"/>
          <w:lang w:val="en-US" w:eastAsia="zh-CN"/>
        </w:rPr>
        <w:t>采购人</w:t>
      </w:r>
      <w:r>
        <w:rPr>
          <w:rFonts w:hint="eastAsia" w:hAnsi="宋体"/>
          <w:sz w:val="24"/>
          <w:szCs w:val="24"/>
          <w:highlight w:val="none"/>
        </w:rPr>
        <w:t xml:space="preserve">反馈，以改进服务质量。 </w:t>
      </w:r>
    </w:p>
    <w:p w14:paraId="3EFB0735">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4</w:t>
      </w:r>
      <w:r>
        <w:rPr>
          <w:rFonts w:hint="eastAsia" w:hAnsi="宋体"/>
          <w:sz w:val="24"/>
          <w:szCs w:val="24"/>
          <w:highlight w:val="none"/>
        </w:rPr>
        <w:t>.2</w:t>
      </w:r>
      <w:r>
        <w:rPr>
          <w:rFonts w:hint="eastAsia"/>
          <w:bCs/>
          <w:sz w:val="24"/>
          <w:szCs w:val="21"/>
          <w:highlight w:val="none"/>
          <w:lang w:eastAsia="zh-CN"/>
        </w:rPr>
        <w:t>中选供应商</w:t>
      </w:r>
      <w:r>
        <w:rPr>
          <w:rFonts w:hint="eastAsia" w:hAnsi="宋体"/>
          <w:sz w:val="24"/>
          <w:szCs w:val="24"/>
          <w:highlight w:val="none"/>
        </w:rPr>
        <w:t>承诺在提供服务时，保证所提供的信息和建议的准确性和可靠性</w:t>
      </w:r>
      <w:r>
        <w:rPr>
          <w:rFonts w:hint="eastAsia" w:hAnsi="宋体"/>
          <w:sz w:val="24"/>
          <w:szCs w:val="24"/>
          <w:highlight w:val="none"/>
          <w:lang w:eastAsia="zh-CN"/>
        </w:rPr>
        <w:t>，</w:t>
      </w:r>
      <w:r>
        <w:rPr>
          <w:rFonts w:hint="eastAsia" w:hAnsi="宋体"/>
          <w:sz w:val="24"/>
          <w:szCs w:val="24"/>
          <w:highlight w:val="none"/>
        </w:rPr>
        <w:t>建立错误报告和跟踪系统，保证所有服务记录可追溯。</w:t>
      </w:r>
    </w:p>
    <w:p w14:paraId="49AB5D4F">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4</w:t>
      </w:r>
      <w:r>
        <w:rPr>
          <w:rFonts w:hint="eastAsia" w:hAnsi="宋体"/>
          <w:sz w:val="24"/>
          <w:szCs w:val="24"/>
          <w:highlight w:val="none"/>
        </w:rPr>
        <w:t>.3</w:t>
      </w:r>
      <w:r>
        <w:rPr>
          <w:rFonts w:hint="eastAsia"/>
          <w:bCs/>
          <w:sz w:val="24"/>
          <w:szCs w:val="21"/>
          <w:highlight w:val="none"/>
          <w:lang w:eastAsia="zh-CN"/>
        </w:rPr>
        <w:t>中选供应商</w:t>
      </w:r>
      <w:r>
        <w:rPr>
          <w:rFonts w:hint="eastAsia" w:hAnsi="宋体"/>
          <w:sz w:val="24"/>
          <w:szCs w:val="24"/>
          <w:highlight w:val="none"/>
        </w:rPr>
        <w:t>应保证所提供的维护和升级服务不会破坏</w:t>
      </w:r>
      <w:r>
        <w:rPr>
          <w:rFonts w:hint="eastAsia" w:hAnsi="宋体"/>
          <w:sz w:val="24"/>
          <w:szCs w:val="24"/>
          <w:highlight w:val="none"/>
          <w:lang w:val="en-US" w:eastAsia="zh-CN"/>
        </w:rPr>
        <w:t>采购人</w:t>
      </w:r>
      <w:r>
        <w:rPr>
          <w:rFonts w:hint="eastAsia" w:hAnsi="宋体"/>
          <w:sz w:val="24"/>
          <w:szCs w:val="24"/>
          <w:highlight w:val="none"/>
        </w:rPr>
        <w:t>数据的完整性和安全性。</w:t>
      </w:r>
    </w:p>
    <w:p w14:paraId="3C8EB53D">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4</w:t>
      </w:r>
      <w:r>
        <w:rPr>
          <w:rFonts w:hint="eastAsia" w:hAnsi="宋体"/>
          <w:sz w:val="24"/>
          <w:szCs w:val="24"/>
          <w:highlight w:val="none"/>
        </w:rPr>
        <w:t>.3.1</w:t>
      </w:r>
      <w:r>
        <w:rPr>
          <w:rFonts w:hint="eastAsia"/>
          <w:bCs/>
          <w:sz w:val="24"/>
          <w:szCs w:val="21"/>
          <w:highlight w:val="none"/>
          <w:lang w:eastAsia="zh-CN"/>
        </w:rPr>
        <w:t>中选供应商</w:t>
      </w:r>
      <w:r>
        <w:rPr>
          <w:rFonts w:hint="eastAsia" w:hAnsi="宋体"/>
          <w:sz w:val="24"/>
          <w:szCs w:val="24"/>
          <w:highlight w:val="none"/>
        </w:rPr>
        <w:t>在提供维护和升级服务前，应通知</w:t>
      </w:r>
      <w:r>
        <w:rPr>
          <w:rFonts w:hint="eastAsia" w:hAnsi="宋体"/>
          <w:sz w:val="24"/>
          <w:szCs w:val="24"/>
          <w:highlight w:val="none"/>
          <w:lang w:val="en-US" w:eastAsia="zh-CN"/>
        </w:rPr>
        <w:t>采购人</w:t>
      </w:r>
      <w:r>
        <w:rPr>
          <w:rFonts w:hint="eastAsia" w:hAnsi="宋体"/>
          <w:sz w:val="24"/>
          <w:szCs w:val="24"/>
          <w:highlight w:val="none"/>
        </w:rPr>
        <w:t>并进行数据备份。</w:t>
      </w:r>
    </w:p>
    <w:p w14:paraId="12BE6A6C">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4</w:t>
      </w:r>
      <w:r>
        <w:rPr>
          <w:rFonts w:hint="eastAsia" w:hAnsi="宋体"/>
          <w:sz w:val="24"/>
          <w:szCs w:val="24"/>
          <w:highlight w:val="none"/>
        </w:rPr>
        <w:t>.3.2</w:t>
      </w:r>
      <w:r>
        <w:rPr>
          <w:rFonts w:hint="eastAsia"/>
          <w:bCs/>
          <w:sz w:val="24"/>
          <w:szCs w:val="21"/>
          <w:highlight w:val="none"/>
          <w:lang w:eastAsia="zh-CN"/>
        </w:rPr>
        <w:t>中选供应商</w:t>
      </w:r>
      <w:r>
        <w:rPr>
          <w:rFonts w:hint="eastAsia" w:hAnsi="宋体"/>
          <w:sz w:val="24"/>
          <w:szCs w:val="24"/>
          <w:highlight w:val="none"/>
        </w:rPr>
        <w:t>应采取必要措施，保证</w:t>
      </w:r>
      <w:r>
        <w:rPr>
          <w:rFonts w:hint="eastAsia" w:hAnsi="宋体"/>
          <w:sz w:val="24"/>
          <w:szCs w:val="24"/>
          <w:highlight w:val="none"/>
          <w:lang w:val="en-US" w:eastAsia="zh-CN"/>
        </w:rPr>
        <w:t>采购人</w:t>
      </w:r>
      <w:r>
        <w:rPr>
          <w:rFonts w:hint="eastAsia" w:hAnsi="宋体"/>
          <w:sz w:val="24"/>
          <w:szCs w:val="24"/>
          <w:highlight w:val="none"/>
        </w:rPr>
        <w:t>数据在服务过程中的安全。</w:t>
      </w:r>
    </w:p>
    <w:p w14:paraId="26BA59AF">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5.</w:t>
      </w:r>
      <w:r>
        <w:rPr>
          <w:rFonts w:hint="eastAsia" w:hAnsi="宋体"/>
          <w:sz w:val="24"/>
          <w:szCs w:val="24"/>
          <w:highlight w:val="none"/>
        </w:rPr>
        <w:t>服务时间与响应</w:t>
      </w:r>
    </w:p>
    <w:p w14:paraId="25C5E891">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5</w:t>
      </w:r>
      <w:r>
        <w:rPr>
          <w:rFonts w:hint="eastAsia" w:hAnsi="宋体"/>
          <w:sz w:val="24"/>
          <w:szCs w:val="24"/>
          <w:highlight w:val="none"/>
        </w:rPr>
        <w:t>.1</w:t>
      </w:r>
      <w:r>
        <w:rPr>
          <w:rFonts w:hint="eastAsia"/>
          <w:bCs/>
          <w:sz w:val="24"/>
          <w:szCs w:val="21"/>
          <w:highlight w:val="none"/>
          <w:lang w:eastAsia="zh-CN"/>
        </w:rPr>
        <w:t>中选供应商</w:t>
      </w:r>
      <w:r>
        <w:rPr>
          <w:rFonts w:hint="eastAsia" w:hAnsi="宋体"/>
          <w:sz w:val="24"/>
          <w:szCs w:val="24"/>
          <w:highlight w:val="none"/>
        </w:rPr>
        <w:t xml:space="preserve">应保证在正常工作时间内提供即时的技术支持服务。 </w:t>
      </w:r>
    </w:p>
    <w:p w14:paraId="23072CF6">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5</w:t>
      </w:r>
      <w:r>
        <w:rPr>
          <w:rFonts w:hint="eastAsia" w:hAnsi="宋体"/>
          <w:sz w:val="24"/>
          <w:szCs w:val="24"/>
          <w:highlight w:val="none"/>
        </w:rPr>
        <w:t xml:space="preserve">.1.1正常工作时间定义为每周一至周五，上午9:00 至下午5:00(法定节假日除外)。 </w:t>
      </w:r>
    </w:p>
    <w:p w14:paraId="669B3220">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5</w:t>
      </w:r>
      <w:r>
        <w:rPr>
          <w:rFonts w:hint="eastAsia" w:hAnsi="宋体"/>
          <w:sz w:val="24"/>
          <w:szCs w:val="24"/>
          <w:highlight w:val="none"/>
        </w:rPr>
        <w:t>.1.2</w:t>
      </w:r>
      <w:r>
        <w:rPr>
          <w:rFonts w:hint="eastAsia"/>
          <w:bCs/>
          <w:sz w:val="24"/>
          <w:szCs w:val="21"/>
          <w:highlight w:val="none"/>
          <w:lang w:eastAsia="zh-CN"/>
        </w:rPr>
        <w:t>中选供应商</w:t>
      </w:r>
      <w:r>
        <w:rPr>
          <w:rFonts w:hint="eastAsia" w:hAnsi="宋体"/>
          <w:sz w:val="24"/>
          <w:szCs w:val="24"/>
          <w:highlight w:val="none"/>
        </w:rPr>
        <w:t>应提供24小时在线客服支持，以处理紧急情况。</w:t>
      </w:r>
    </w:p>
    <w:p w14:paraId="31D8DDDA">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5</w:t>
      </w:r>
      <w:r>
        <w:rPr>
          <w:rFonts w:hint="eastAsia" w:hAnsi="宋体"/>
          <w:sz w:val="24"/>
          <w:szCs w:val="24"/>
          <w:highlight w:val="none"/>
        </w:rPr>
        <w:t>.2</w:t>
      </w:r>
      <w:r>
        <w:rPr>
          <w:rFonts w:hint="eastAsia"/>
          <w:bCs/>
          <w:sz w:val="24"/>
          <w:szCs w:val="21"/>
          <w:highlight w:val="none"/>
          <w:lang w:eastAsia="zh-CN"/>
        </w:rPr>
        <w:t>中选供应商</w:t>
      </w:r>
      <w:r>
        <w:rPr>
          <w:rFonts w:hint="eastAsia" w:hAnsi="宋体"/>
          <w:sz w:val="24"/>
          <w:szCs w:val="24"/>
          <w:highlight w:val="none"/>
        </w:rPr>
        <w:t>对于</w:t>
      </w:r>
      <w:r>
        <w:rPr>
          <w:rFonts w:hint="eastAsia" w:hAnsi="宋体"/>
          <w:sz w:val="24"/>
          <w:szCs w:val="24"/>
          <w:highlight w:val="none"/>
          <w:lang w:val="en-US" w:eastAsia="zh-CN"/>
        </w:rPr>
        <w:t>采购人</w:t>
      </w:r>
      <w:r>
        <w:rPr>
          <w:rFonts w:hint="eastAsia" w:hAnsi="宋体"/>
          <w:sz w:val="24"/>
          <w:szCs w:val="24"/>
          <w:highlight w:val="none"/>
        </w:rPr>
        <w:t>的服务请求，应按照以下响应时间进行回复:</w:t>
      </w:r>
    </w:p>
    <w:p w14:paraId="3795B4C3">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5</w:t>
      </w:r>
      <w:r>
        <w:rPr>
          <w:rFonts w:hint="eastAsia" w:hAnsi="宋体"/>
          <w:sz w:val="24"/>
          <w:szCs w:val="24"/>
          <w:highlight w:val="none"/>
        </w:rPr>
        <w:t>.2.1对于一般性问题，</w:t>
      </w:r>
      <w:r>
        <w:rPr>
          <w:rFonts w:hint="eastAsia"/>
          <w:bCs/>
          <w:sz w:val="24"/>
          <w:szCs w:val="21"/>
          <w:highlight w:val="none"/>
          <w:lang w:eastAsia="zh-CN"/>
        </w:rPr>
        <w:t>中选供应商</w:t>
      </w:r>
      <w:r>
        <w:rPr>
          <w:rFonts w:hint="eastAsia" w:hAnsi="宋体"/>
          <w:sz w:val="24"/>
          <w:szCs w:val="24"/>
          <w:highlight w:val="none"/>
        </w:rPr>
        <w:t xml:space="preserve">应在2小时内响应。 </w:t>
      </w:r>
    </w:p>
    <w:p w14:paraId="6AEB1C74">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5</w:t>
      </w:r>
      <w:r>
        <w:rPr>
          <w:rFonts w:hint="eastAsia" w:hAnsi="宋体"/>
          <w:sz w:val="24"/>
          <w:szCs w:val="24"/>
          <w:highlight w:val="none"/>
        </w:rPr>
        <w:t>.2.2对于紧急问题，</w:t>
      </w:r>
      <w:r>
        <w:rPr>
          <w:rFonts w:hint="eastAsia"/>
          <w:bCs/>
          <w:sz w:val="24"/>
          <w:szCs w:val="21"/>
          <w:highlight w:val="none"/>
          <w:lang w:eastAsia="zh-CN"/>
        </w:rPr>
        <w:t>中选供应商</w:t>
      </w:r>
      <w:r>
        <w:rPr>
          <w:rFonts w:hint="eastAsia" w:hAnsi="宋体"/>
          <w:sz w:val="24"/>
          <w:szCs w:val="24"/>
          <w:highlight w:val="none"/>
        </w:rPr>
        <w:t xml:space="preserve">应在1小时内响应。 </w:t>
      </w:r>
    </w:p>
    <w:p w14:paraId="1621889E">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5</w:t>
      </w:r>
      <w:r>
        <w:rPr>
          <w:rFonts w:hint="eastAsia" w:hAnsi="宋体"/>
          <w:sz w:val="24"/>
          <w:szCs w:val="24"/>
          <w:highlight w:val="none"/>
        </w:rPr>
        <w:t>.3</w:t>
      </w:r>
      <w:r>
        <w:rPr>
          <w:rFonts w:hint="eastAsia"/>
          <w:bCs/>
          <w:sz w:val="24"/>
          <w:szCs w:val="21"/>
          <w:highlight w:val="none"/>
          <w:lang w:eastAsia="zh-CN"/>
        </w:rPr>
        <w:t>中选供应商</w:t>
      </w:r>
      <w:r>
        <w:rPr>
          <w:rFonts w:hint="eastAsia" w:hAnsi="宋体"/>
          <w:sz w:val="24"/>
          <w:szCs w:val="24"/>
          <w:highlight w:val="none"/>
        </w:rPr>
        <w:t>应保证在服务响应时间内提供有效的解决方案或临时措施。</w:t>
      </w:r>
    </w:p>
    <w:p w14:paraId="77FF678E">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6.</w:t>
      </w:r>
      <w:r>
        <w:rPr>
          <w:rFonts w:hint="eastAsia" w:hAnsi="宋体"/>
          <w:sz w:val="24"/>
          <w:szCs w:val="24"/>
          <w:highlight w:val="none"/>
        </w:rPr>
        <w:t>其他服务：</w:t>
      </w:r>
    </w:p>
    <w:p w14:paraId="5BAF52F1">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6.1</w:t>
      </w:r>
      <w:r>
        <w:rPr>
          <w:rFonts w:hint="eastAsia" w:hAnsi="宋体"/>
          <w:sz w:val="24"/>
          <w:szCs w:val="24"/>
          <w:highlight w:val="none"/>
        </w:rPr>
        <w:t>维保期满后，如甲方需要，乙方必须提供维护服务，甲方和乙方双方同意，维保期满后每年维护费不超过合同总价格的百分之</w:t>
      </w:r>
      <w:r>
        <w:rPr>
          <w:rFonts w:hint="eastAsia" w:hAnsi="宋体"/>
          <w:sz w:val="24"/>
          <w:szCs w:val="24"/>
          <w:highlight w:val="none"/>
          <w:lang w:val="en-US" w:eastAsia="zh-CN"/>
        </w:rPr>
        <w:t>三</w:t>
      </w:r>
      <w:r>
        <w:rPr>
          <w:rFonts w:hint="eastAsia" w:hAnsi="宋体"/>
          <w:sz w:val="24"/>
          <w:szCs w:val="24"/>
          <w:highlight w:val="none"/>
        </w:rPr>
        <w:t>。</w:t>
      </w:r>
    </w:p>
    <w:p w14:paraId="389CF9E9">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6.2</w:t>
      </w:r>
      <w:r>
        <w:rPr>
          <w:rFonts w:hint="eastAsia" w:hAnsi="宋体"/>
          <w:sz w:val="24"/>
          <w:szCs w:val="24"/>
          <w:highlight w:val="none"/>
        </w:rPr>
        <w:t>维保期满后，乙方不能使用任何方式限制软件使用。</w:t>
      </w:r>
    </w:p>
    <w:p w14:paraId="2C5FE502">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6.3</w:t>
      </w:r>
      <w:r>
        <w:rPr>
          <w:rFonts w:hint="eastAsia" w:hAnsi="宋体"/>
          <w:sz w:val="24"/>
          <w:szCs w:val="24"/>
          <w:highlight w:val="none"/>
        </w:rPr>
        <w:t>软件系统符合信息安全等级保护（最新版）规定，同时应确保信息系统安全，依据国家相关法规和标准，防范和应对信息安全风险，保障网络、系统和数据的安全。</w:t>
      </w:r>
    </w:p>
    <w:p w14:paraId="6E19102A">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6.4</w:t>
      </w:r>
      <w:r>
        <w:rPr>
          <w:rFonts w:hint="eastAsia" w:hAnsi="宋体"/>
          <w:sz w:val="24"/>
          <w:szCs w:val="24"/>
          <w:highlight w:val="none"/>
        </w:rPr>
        <w:t>合同期内，乙方应采取必要的安全措施，保障甲方数据和系统的安全，防范各类网络安全事件的发生。乙方应建立健全的网络安全管理体系，实施严格的数据备份和恢复策略，保证系统和数据的安全性和可用性。</w:t>
      </w:r>
    </w:p>
    <w:p w14:paraId="018BD6A0">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6.5</w:t>
      </w:r>
      <w:r>
        <w:rPr>
          <w:rFonts w:hint="eastAsia" w:hAnsi="宋体"/>
          <w:sz w:val="24"/>
          <w:szCs w:val="24"/>
          <w:highlight w:val="none"/>
        </w:rPr>
        <w:t>乙方应采取合理的安全措施，防止甲方数据和系统的非授权访问、篡改或泄漏。乙方应按照甲方的要求，落实甲方提出的安全控制措施建议，并根据甲方的安全策略进行系统配置和安全加固。</w:t>
      </w:r>
    </w:p>
    <w:p w14:paraId="51E32A1A">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6.6</w:t>
      </w:r>
      <w:r>
        <w:rPr>
          <w:rFonts w:hint="eastAsia" w:hAnsi="宋体"/>
          <w:sz w:val="24"/>
          <w:szCs w:val="24"/>
          <w:highlight w:val="none"/>
        </w:rPr>
        <w:t>在合同期内，乙方应对所有安全事件进行记录、分析和报告，及时通知甲方并配合甲方进行事件处理和恢复工作。乙方应定期进行安全审计和检查，及时发现和处理潜在的安全风险和漏洞。</w:t>
      </w:r>
    </w:p>
    <w:p w14:paraId="7CCC7338">
      <w:pPr>
        <w:pStyle w:val="23"/>
        <w:spacing w:line="360" w:lineRule="auto"/>
        <w:ind w:firstLine="482"/>
        <w:outlineLvl w:val="1"/>
        <w:rPr>
          <w:rFonts w:hAnsi="宋体"/>
          <w:b/>
          <w:sz w:val="24"/>
          <w:szCs w:val="24"/>
          <w:highlight w:val="none"/>
        </w:rPr>
      </w:pPr>
      <w:r>
        <w:rPr>
          <w:rFonts w:hint="eastAsia" w:hAnsi="宋体"/>
          <w:b/>
          <w:sz w:val="24"/>
          <w:szCs w:val="24"/>
          <w:highlight w:val="none"/>
        </w:rPr>
        <w:t>五、报价要求</w:t>
      </w:r>
      <w:bookmarkEnd w:id="84"/>
    </w:p>
    <w:p w14:paraId="38C9F733">
      <w:pPr>
        <w:pStyle w:val="23"/>
        <w:spacing w:line="360" w:lineRule="auto"/>
        <w:ind w:firstLine="482"/>
        <w:outlineLvl w:val="1"/>
        <w:rPr>
          <w:rFonts w:hint="eastAsia" w:hAnsi="宋体"/>
          <w:sz w:val="24"/>
          <w:szCs w:val="21"/>
          <w:highlight w:val="none"/>
          <w:lang w:val="en-US" w:eastAsia="zh-CN"/>
        </w:rPr>
      </w:pPr>
      <w:r>
        <w:rPr>
          <w:rFonts w:hint="eastAsia" w:hAnsi="宋体"/>
          <w:sz w:val="24"/>
          <w:szCs w:val="24"/>
          <w:highlight w:val="none"/>
        </w:rPr>
        <w:t>1</w:t>
      </w:r>
      <w:bookmarkStart w:id="85" w:name="_Toc184723295"/>
      <w:r>
        <w:rPr>
          <w:rFonts w:hint="eastAsia" w:hAnsi="宋体"/>
          <w:sz w:val="24"/>
          <w:szCs w:val="24"/>
          <w:highlight w:val="none"/>
          <w:lang w:val="en-US" w:eastAsia="zh-CN"/>
        </w:rPr>
        <w:t xml:space="preserve">. </w:t>
      </w:r>
      <w:r>
        <w:rPr>
          <w:rFonts w:hint="eastAsia" w:hAnsi="宋体"/>
          <w:sz w:val="24"/>
          <w:szCs w:val="24"/>
          <w:highlight w:val="none"/>
        </w:rPr>
        <w:t>遴选响应人应根据遴选文件的要求进行一次性报价，采购人不再支付因遴选响应人漏项或是填写错误而增加的任何费用</w:t>
      </w:r>
      <w:bookmarkEnd w:id="85"/>
      <w:r>
        <w:rPr>
          <w:rFonts w:hint="eastAsia" w:hAnsi="宋体"/>
          <w:sz w:val="24"/>
          <w:szCs w:val="21"/>
          <w:highlight w:val="none"/>
          <w:lang w:val="en-US" w:eastAsia="zh-CN"/>
        </w:rPr>
        <w:t>。</w:t>
      </w:r>
    </w:p>
    <w:p w14:paraId="16561D32">
      <w:pPr>
        <w:pStyle w:val="23"/>
        <w:spacing w:line="360" w:lineRule="auto"/>
        <w:ind w:firstLine="482"/>
        <w:outlineLvl w:val="1"/>
        <w:rPr>
          <w:rFonts w:hint="eastAsia" w:hAnsi="宋体"/>
          <w:sz w:val="24"/>
          <w:szCs w:val="21"/>
          <w:highlight w:val="none"/>
          <w:lang w:val="en-US" w:eastAsia="zh-CN"/>
        </w:rPr>
      </w:pPr>
      <w:r>
        <w:rPr>
          <w:rFonts w:hint="eastAsia" w:hAnsi="宋体"/>
          <w:sz w:val="24"/>
          <w:szCs w:val="21"/>
          <w:highlight w:val="none"/>
          <w:lang w:val="en-US" w:eastAsia="zh-CN"/>
        </w:rPr>
        <w:t>2. 项目实施过程中</w:t>
      </w:r>
      <w:r>
        <w:rPr>
          <w:rFonts w:hint="eastAsia" w:hAnsi="宋体"/>
          <w:sz w:val="24"/>
          <w:szCs w:val="24"/>
          <w:highlight w:val="none"/>
        </w:rPr>
        <w:t>遴选响应人</w:t>
      </w:r>
      <w:r>
        <w:rPr>
          <w:rFonts w:hint="eastAsia" w:hAnsi="宋体"/>
          <w:sz w:val="24"/>
          <w:szCs w:val="21"/>
          <w:highlight w:val="none"/>
          <w:lang w:val="en-US" w:eastAsia="zh-CN"/>
        </w:rPr>
        <w:t>与采购人的HIS系统、LIS系统、PACS系统、心电图系统及省级职业体检平台、区域健康档案平台的开发对接产生的开发费用、接口费用或其他费用由</w:t>
      </w:r>
      <w:r>
        <w:rPr>
          <w:rFonts w:hint="eastAsia" w:hAnsi="宋体"/>
          <w:sz w:val="24"/>
          <w:szCs w:val="24"/>
          <w:highlight w:val="none"/>
        </w:rPr>
        <w:t>遴选响应人</w:t>
      </w:r>
      <w:r>
        <w:rPr>
          <w:rFonts w:hint="eastAsia" w:hAnsi="宋体"/>
          <w:sz w:val="24"/>
          <w:szCs w:val="21"/>
          <w:highlight w:val="none"/>
          <w:lang w:val="en-US" w:eastAsia="zh-CN"/>
        </w:rPr>
        <w:t>承担,采购人不再支付；</w:t>
      </w:r>
      <w:r>
        <w:rPr>
          <w:rFonts w:hint="eastAsia" w:hAnsi="宋体"/>
          <w:sz w:val="24"/>
          <w:szCs w:val="24"/>
          <w:highlight w:val="none"/>
        </w:rPr>
        <w:t>遴选响应人</w:t>
      </w:r>
      <w:r>
        <w:rPr>
          <w:rFonts w:hint="eastAsia" w:hAnsi="宋体"/>
          <w:sz w:val="24"/>
          <w:szCs w:val="24"/>
          <w:highlight w:val="none"/>
          <w:lang w:val="en-US" w:eastAsia="zh-CN"/>
        </w:rPr>
        <w:t>响应报价应</w:t>
      </w:r>
      <w:r>
        <w:rPr>
          <w:rFonts w:hint="eastAsia" w:hAnsi="宋体"/>
          <w:sz w:val="24"/>
          <w:szCs w:val="21"/>
          <w:highlight w:val="none"/>
          <w:lang w:val="en-US" w:eastAsia="zh-CN"/>
        </w:rPr>
        <w:t>为人民币含税全包价，包括所投产品的设计、开发、测试、运输、安装调试、第三方接口开发调试、对接、验收、培训、售后服务及相关服务等一切费用。所投产品开发过程中若涉及第三方的知识产权，其使用过程所产生的一切费用应包含在本次投标报价内。</w:t>
      </w:r>
    </w:p>
    <w:p w14:paraId="4A2B7E5E">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w:t>
      </w:r>
      <w:r>
        <w:rPr>
          <w:rFonts w:ascii="宋体" w:hAnsi="宋体" w:eastAsia="宋体" w:cs="宋体"/>
          <w:sz w:val="24"/>
          <w:szCs w:val="24"/>
          <w:highlight w:val="none"/>
        </w:rPr>
        <w:t xml:space="preserve">. </w:t>
      </w:r>
      <w:r>
        <w:rPr>
          <w:rFonts w:hint="eastAsia" w:ascii="宋体" w:hAnsi="宋体" w:eastAsia="宋体" w:cs="宋体"/>
          <w:sz w:val="24"/>
          <w:szCs w:val="24"/>
          <w:highlight w:val="none"/>
        </w:rPr>
        <w:t>本项目最高限价金额为</w:t>
      </w:r>
      <w:r>
        <w:rPr>
          <w:rFonts w:ascii="宋体" w:hAnsi="宋体" w:eastAsia="宋体" w:cs="宋体"/>
          <w:b/>
          <w:bCs/>
          <w:sz w:val="24"/>
          <w:szCs w:val="24"/>
          <w:highlight w:val="none"/>
          <w:u w:val="single"/>
        </w:rPr>
        <w:t>¥</w:t>
      </w:r>
      <w:r>
        <w:rPr>
          <w:rFonts w:hint="eastAsia" w:ascii="宋体" w:hAnsi="宋体" w:eastAsia="宋体" w:cs="宋体"/>
          <w:b/>
          <w:bCs/>
          <w:sz w:val="24"/>
          <w:szCs w:val="24"/>
          <w:highlight w:val="none"/>
          <w:u w:val="single"/>
          <w:lang w:val="en-US" w:eastAsia="zh-CN"/>
        </w:rPr>
        <w:t>280000</w:t>
      </w:r>
      <w:r>
        <w:rPr>
          <w:rFonts w:hint="eastAsia" w:ascii="宋体" w:hAnsi="宋体" w:eastAsia="宋体" w:cs="宋体"/>
          <w:b/>
          <w:bCs/>
          <w:sz w:val="24"/>
          <w:szCs w:val="24"/>
          <w:highlight w:val="none"/>
          <w:u w:val="single"/>
        </w:rPr>
        <w:t>.00元（大写：人民币</w:t>
      </w:r>
      <w:r>
        <w:rPr>
          <w:rFonts w:hint="eastAsia" w:ascii="宋体" w:hAnsi="宋体" w:eastAsia="宋体" w:cs="宋体"/>
          <w:b/>
          <w:bCs/>
          <w:sz w:val="24"/>
          <w:szCs w:val="24"/>
          <w:highlight w:val="none"/>
          <w:u w:val="single"/>
          <w:lang w:val="en-US" w:eastAsia="zh-CN"/>
        </w:rPr>
        <w:t>贰</w:t>
      </w:r>
      <w:r>
        <w:rPr>
          <w:rFonts w:hint="eastAsia" w:ascii="宋体" w:hAnsi="宋体" w:eastAsia="宋体" w:cs="宋体"/>
          <w:b/>
          <w:bCs/>
          <w:sz w:val="24"/>
          <w:szCs w:val="24"/>
          <w:highlight w:val="none"/>
          <w:u w:val="single"/>
        </w:rPr>
        <w:t>拾</w:t>
      </w:r>
      <w:r>
        <w:rPr>
          <w:rFonts w:hint="eastAsia" w:ascii="宋体" w:hAnsi="宋体" w:eastAsia="宋体" w:cs="宋体"/>
          <w:b/>
          <w:bCs/>
          <w:sz w:val="24"/>
          <w:szCs w:val="24"/>
          <w:highlight w:val="none"/>
          <w:u w:val="single"/>
          <w:lang w:val="en-US" w:eastAsia="zh-CN"/>
        </w:rPr>
        <w:t>捌</w:t>
      </w:r>
      <w:r>
        <w:rPr>
          <w:rFonts w:hint="eastAsia" w:ascii="宋体" w:hAnsi="宋体" w:eastAsia="宋体" w:cs="宋体"/>
          <w:b/>
          <w:bCs/>
          <w:sz w:val="24"/>
          <w:szCs w:val="24"/>
          <w:highlight w:val="none"/>
          <w:u w:val="single"/>
        </w:rPr>
        <w:t>万元整）</w:t>
      </w:r>
      <w:r>
        <w:rPr>
          <w:rFonts w:hint="eastAsia" w:ascii="宋体" w:hAnsi="宋体" w:eastAsia="宋体" w:cs="宋体"/>
          <w:b/>
          <w:bCs/>
          <w:sz w:val="24"/>
          <w:szCs w:val="24"/>
          <w:highlight w:val="none"/>
        </w:rPr>
        <w:t>。</w:t>
      </w:r>
      <w:r>
        <w:rPr>
          <w:rFonts w:hint="eastAsia" w:ascii="宋体" w:hAnsi="宋体" w:eastAsia="宋体" w:cs="宋体"/>
          <w:sz w:val="24"/>
          <w:szCs w:val="24"/>
          <w:highlight w:val="none"/>
        </w:rPr>
        <w:t>供应商的响应（遴选）报价不得超过最高限价，否则作无效投标处理。</w:t>
      </w:r>
    </w:p>
    <w:p w14:paraId="66214507">
      <w:pPr>
        <w:pStyle w:val="23"/>
        <w:spacing w:line="360" w:lineRule="auto"/>
        <w:ind w:firstLine="482"/>
        <w:outlineLvl w:val="1"/>
        <w:rPr>
          <w:rFonts w:hAnsi="宋体"/>
          <w:b/>
          <w:sz w:val="24"/>
          <w:szCs w:val="24"/>
          <w:highlight w:val="none"/>
        </w:rPr>
      </w:pPr>
      <w:bookmarkStart w:id="86" w:name="_Toc184723296"/>
      <w:r>
        <w:rPr>
          <w:rFonts w:hint="eastAsia" w:hAnsi="宋体"/>
          <w:b/>
          <w:sz w:val="24"/>
          <w:szCs w:val="24"/>
          <w:highlight w:val="none"/>
        </w:rPr>
        <w:t>六</w:t>
      </w:r>
      <w:r>
        <w:rPr>
          <w:rFonts w:hAnsi="宋体"/>
          <w:b/>
          <w:sz w:val="24"/>
          <w:szCs w:val="24"/>
          <w:highlight w:val="none"/>
        </w:rPr>
        <w:t>、</w:t>
      </w:r>
      <w:r>
        <w:rPr>
          <w:rFonts w:hint="eastAsia" w:hAnsi="宋体"/>
          <w:b/>
          <w:sz w:val="24"/>
          <w:szCs w:val="24"/>
          <w:highlight w:val="none"/>
        </w:rPr>
        <w:t>评审办法和标准</w:t>
      </w:r>
      <w:bookmarkEnd w:id="86"/>
    </w:p>
    <w:p w14:paraId="1FC353E3">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评审原则：遵循公开、公平、公正的原则，采用综合评分法。</w:t>
      </w:r>
    </w:p>
    <w:p w14:paraId="4E6159EC">
      <w:pPr>
        <w:pStyle w:val="23"/>
        <w:spacing w:line="360" w:lineRule="auto"/>
        <w:ind w:firstLine="482"/>
        <w:outlineLvl w:val="1"/>
        <w:rPr>
          <w:rFonts w:hAnsi="宋体"/>
          <w:b/>
          <w:sz w:val="24"/>
          <w:szCs w:val="24"/>
          <w:highlight w:val="none"/>
        </w:rPr>
      </w:pPr>
      <w:bookmarkStart w:id="87" w:name="_Toc184723297"/>
      <w:r>
        <w:rPr>
          <w:rFonts w:hint="eastAsia" w:hAnsi="宋体"/>
          <w:b/>
          <w:sz w:val="24"/>
          <w:szCs w:val="24"/>
          <w:highlight w:val="none"/>
        </w:rPr>
        <w:t>七</w:t>
      </w:r>
      <w:r>
        <w:rPr>
          <w:rFonts w:hAnsi="宋体"/>
          <w:b/>
          <w:sz w:val="24"/>
          <w:szCs w:val="24"/>
          <w:highlight w:val="none"/>
        </w:rPr>
        <w:t>、验收标准</w:t>
      </w:r>
      <w:bookmarkEnd w:id="87"/>
    </w:p>
    <w:p w14:paraId="0DEF03E4">
      <w:pPr>
        <w:spacing w:line="360" w:lineRule="auto"/>
        <w:ind w:firstLine="480" w:firstLineChars="200"/>
        <w:rPr>
          <w:rFonts w:ascii="宋体" w:hAnsi="宋体" w:eastAsia="宋体" w:cs="宋体"/>
          <w:sz w:val="24"/>
          <w:szCs w:val="24"/>
          <w:highlight w:val="none"/>
        </w:rPr>
      </w:pPr>
      <w:r>
        <w:rPr>
          <w:rFonts w:hint="eastAsia" w:ascii="宋体" w:hAnsi="Courier New" w:eastAsia="宋体"/>
          <w:sz w:val="24"/>
          <w:szCs w:val="21"/>
          <w:highlight w:val="none"/>
        </w:rPr>
        <w:t>符合上述第三点“技术服务要求”</w:t>
      </w:r>
      <w:r>
        <w:rPr>
          <w:rFonts w:hint="eastAsia" w:ascii="宋体" w:hAnsi="宋体" w:eastAsia="宋体" w:cs="宋体"/>
          <w:sz w:val="24"/>
          <w:szCs w:val="24"/>
          <w:highlight w:val="none"/>
        </w:rPr>
        <w:t>。</w:t>
      </w:r>
    </w:p>
    <w:bookmarkEnd w:id="69"/>
    <w:bookmarkEnd w:id="70"/>
    <w:bookmarkEnd w:id="71"/>
    <w:bookmarkEnd w:id="72"/>
    <w:bookmarkEnd w:id="73"/>
    <w:bookmarkEnd w:id="74"/>
    <w:bookmarkEnd w:id="75"/>
    <w:p w14:paraId="38A438FD">
      <w:pPr>
        <w:rPr>
          <w:sz w:val="36"/>
          <w:szCs w:val="28"/>
          <w:highlight w:val="none"/>
        </w:rPr>
      </w:pPr>
      <w:bookmarkStart w:id="88" w:name="_Toc51756452"/>
      <w:bookmarkStart w:id="89" w:name="_Toc51939417"/>
      <w:bookmarkStart w:id="90" w:name="_Toc52021499"/>
      <w:bookmarkStart w:id="91" w:name="_Toc56352971"/>
      <w:bookmarkStart w:id="92" w:name="_Toc52027886"/>
      <w:bookmarkStart w:id="93" w:name="_Toc486671527"/>
      <w:bookmarkStart w:id="94" w:name="_Toc467236723"/>
      <w:bookmarkStart w:id="95" w:name="_Toc458262598"/>
      <w:bookmarkStart w:id="96" w:name="_Toc476976155"/>
      <w:r>
        <w:rPr>
          <w:sz w:val="36"/>
          <w:szCs w:val="28"/>
          <w:highlight w:val="none"/>
        </w:rPr>
        <w:br w:type="page"/>
      </w:r>
    </w:p>
    <w:p w14:paraId="5A587068">
      <w:pPr>
        <w:pStyle w:val="2"/>
        <w:keepNext w:val="0"/>
        <w:keepLines w:val="0"/>
        <w:spacing w:before="0" w:after="0" w:line="360" w:lineRule="auto"/>
        <w:jc w:val="center"/>
        <w:rPr>
          <w:rFonts w:ascii="Times New Roman"/>
          <w:sz w:val="36"/>
          <w:szCs w:val="28"/>
          <w:highlight w:val="none"/>
        </w:rPr>
      </w:pPr>
      <w:bookmarkStart w:id="97" w:name="_Toc184723298"/>
      <w:r>
        <w:rPr>
          <w:rFonts w:ascii="Times New Roman"/>
          <w:sz w:val="36"/>
          <w:szCs w:val="28"/>
          <w:highlight w:val="none"/>
        </w:rPr>
        <w:t>第三部分</w:t>
      </w:r>
      <w:bookmarkEnd w:id="88"/>
      <w:bookmarkEnd w:id="89"/>
      <w:bookmarkEnd w:id="90"/>
      <w:bookmarkEnd w:id="91"/>
      <w:bookmarkEnd w:id="92"/>
      <w:r>
        <w:rPr>
          <w:rFonts w:ascii="Times New Roman"/>
          <w:sz w:val="36"/>
          <w:szCs w:val="28"/>
          <w:highlight w:val="none"/>
        </w:rPr>
        <w:t xml:space="preserve">  供应商须知</w:t>
      </w:r>
      <w:bookmarkEnd w:id="93"/>
      <w:bookmarkEnd w:id="94"/>
      <w:bookmarkEnd w:id="95"/>
      <w:bookmarkEnd w:id="96"/>
      <w:bookmarkEnd w:id="97"/>
    </w:p>
    <w:p w14:paraId="58AEE363">
      <w:pPr>
        <w:pStyle w:val="3"/>
        <w:keepNext w:val="0"/>
        <w:keepLines w:val="0"/>
        <w:spacing w:beforeLines="50" w:after="0" w:line="360" w:lineRule="auto"/>
        <w:jc w:val="center"/>
        <w:rPr>
          <w:rFonts w:ascii="Times New Roman" w:hAnsi="Times New Roman" w:eastAsia="宋体"/>
          <w:sz w:val="24"/>
          <w:szCs w:val="21"/>
          <w:highlight w:val="none"/>
        </w:rPr>
      </w:pPr>
      <w:bookmarkStart w:id="98" w:name="_Toc102277756"/>
      <w:bookmarkStart w:id="99" w:name="_Toc184723299"/>
      <w:bookmarkStart w:id="100" w:name="_Toc466786434"/>
      <w:bookmarkStart w:id="101" w:name="_Toc6882675"/>
      <w:bookmarkStart w:id="102" w:name="_Toc6968687"/>
      <w:bookmarkStart w:id="103" w:name="_Toc507407359"/>
      <w:bookmarkStart w:id="104" w:name="_Toc458262599"/>
      <w:bookmarkStart w:id="105" w:name="_Toc479991566"/>
      <w:bookmarkStart w:id="106" w:name="_Toc480020241"/>
      <w:bookmarkStart w:id="107" w:name="_Toc467236724"/>
      <w:bookmarkStart w:id="108" w:name="_Toc480010692"/>
      <w:bookmarkStart w:id="109" w:name="_Toc480021037"/>
      <w:bookmarkStart w:id="110" w:name="_Toc468606013"/>
      <w:bookmarkStart w:id="111" w:name="_Toc48207756"/>
      <w:bookmarkStart w:id="112" w:name="_Toc480171863"/>
      <w:bookmarkStart w:id="113" w:name="_Toc467987807"/>
      <w:bookmarkStart w:id="114" w:name="_Toc468157520"/>
      <w:r>
        <w:rPr>
          <w:rFonts w:ascii="Times New Roman" w:hAnsi="Times New Roman" w:eastAsia="宋体"/>
          <w:sz w:val="24"/>
          <w:szCs w:val="21"/>
          <w:highlight w:val="none"/>
        </w:rPr>
        <w:t>一、说  明</w:t>
      </w:r>
      <w:bookmarkEnd w:id="98"/>
      <w:bookmarkEnd w:id="99"/>
      <w:bookmarkEnd w:id="100"/>
      <w:bookmarkEnd w:id="101"/>
      <w:bookmarkEnd w:id="102"/>
      <w:bookmarkEnd w:id="103"/>
    </w:p>
    <w:p w14:paraId="3D7966A6">
      <w:pPr>
        <w:pStyle w:val="5"/>
        <w:keepNext w:val="0"/>
        <w:keepLines w:val="0"/>
        <w:adjustRightInd/>
        <w:spacing w:before="0" w:after="0" w:line="360" w:lineRule="auto"/>
        <w:ind w:firstLine="482" w:firstLineChars="200"/>
        <w:rPr>
          <w:rFonts w:ascii="Times New Roman"/>
          <w:b w:val="0"/>
          <w:sz w:val="24"/>
          <w:szCs w:val="21"/>
          <w:highlight w:val="none"/>
        </w:rPr>
      </w:pPr>
      <w:bookmarkStart w:id="115" w:name="_Toc475249114"/>
      <w:r>
        <w:rPr>
          <w:rFonts w:ascii="Times New Roman"/>
          <w:sz w:val="24"/>
          <w:szCs w:val="21"/>
          <w:highlight w:val="none"/>
        </w:rPr>
        <w:t>1.适用范围</w:t>
      </w:r>
      <w:bookmarkEnd w:id="115"/>
    </w:p>
    <w:p w14:paraId="28078281">
      <w:pPr>
        <w:autoSpaceDE w:val="0"/>
        <w:autoSpaceDN w:val="0"/>
        <w:spacing w:line="360" w:lineRule="auto"/>
        <w:ind w:firstLine="480" w:firstLineChars="200"/>
        <w:jc w:val="left"/>
        <w:textAlignment w:val="baseline"/>
        <w:rPr>
          <w:rFonts w:eastAsia="宋体"/>
          <w:sz w:val="24"/>
          <w:szCs w:val="21"/>
          <w:highlight w:val="none"/>
        </w:rPr>
      </w:pPr>
      <w:r>
        <w:rPr>
          <w:rFonts w:eastAsia="宋体"/>
          <w:sz w:val="24"/>
          <w:szCs w:val="21"/>
          <w:highlight w:val="none"/>
        </w:rPr>
        <w:t>1.1本</w:t>
      </w:r>
      <w:r>
        <w:rPr>
          <w:rFonts w:hint="eastAsia" w:eastAsia="宋体"/>
          <w:sz w:val="24"/>
          <w:szCs w:val="21"/>
          <w:highlight w:val="none"/>
        </w:rPr>
        <w:t>遴选</w:t>
      </w:r>
      <w:r>
        <w:rPr>
          <w:rFonts w:eastAsia="宋体"/>
          <w:sz w:val="24"/>
          <w:szCs w:val="21"/>
          <w:highlight w:val="none"/>
        </w:rPr>
        <w:t>文件仅适用于本次采购邀请中所叙述的项目。</w:t>
      </w:r>
    </w:p>
    <w:p w14:paraId="1254E721">
      <w:pPr>
        <w:autoSpaceDE w:val="0"/>
        <w:autoSpaceDN w:val="0"/>
        <w:spacing w:line="360" w:lineRule="auto"/>
        <w:ind w:firstLine="480" w:firstLineChars="200"/>
        <w:jc w:val="left"/>
        <w:textAlignment w:val="baseline"/>
        <w:rPr>
          <w:rFonts w:eastAsia="宋体"/>
          <w:sz w:val="24"/>
          <w:szCs w:val="21"/>
          <w:highlight w:val="none"/>
        </w:rPr>
      </w:pPr>
      <w:r>
        <w:rPr>
          <w:rFonts w:eastAsia="宋体"/>
          <w:sz w:val="24"/>
          <w:szCs w:val="21"/>
          <w:highlight w:val="none"/>
        </w:rPr>
        <w:t>1.2本</w:t>
      </w:r>
      <w:r>
        <w:rPr>
          <w:rFonts w:hint="eastAsia" w:eastAsia="宋体"/>
          <w:sz w:val="24"/>
          <w:szCs w:val="21"/>
          <w:highlight w:val="none"/>
        </w:rPr>
        <w:t>遴选</w:t>
      </w:r>
      <w:r>
        <w:rPr>
          <w:rFonts w:eastAsia="宋体"/>
          <w:sz w:val="24"/>
          <w:szCs w:val="21"/>
          <w:highlight w:val="none"/>
        </w:rPr>
        <w:t>文件的解释权</w:t>
      </w:r>
      <w:r>
        <w:rPr>
          <w:rFonts w:hint="eastAsia" w:eastAsia="宋体"/>
          <w:sz w:val="24"/>
          <w:szCs w:val="21"/>
          <w:highlight w:val="none"/>
        </w:rPr>
        <w:t>归采购人所有</w:t>
      </w:r>
      <w:r>
        <w:rPr>
          <w:rFonts w:eastAsia="宋体"/>
          <w:sz w:val="24"/>
          <w:szCs w:val="21"/>
          <w:highlight w:val="none"/>
        </w:rPr>
        <w:t>。</w:t>
      </w:r>
    </w:p>
    <w:p w14:paraId="6B65D6B5">
      <w:pPr>
        <w:pStyle w:val="5"/>
        <w:keepNext w:val="0"/>
        <w:keepLines w:val="0"/>
        <w:adjustRightInd/>
        <w:spacing w:before="0" w:after="0" w:line="360" w:lineRule="auto"/>
        <w:ind w:firstLine="482" w:firstLineChars="200"/>
        <w:rPr>
          <w:rFonts w:ascii="Times New Roman"/>
          <w:b w:val="0"/>
          <w:sz w:val="24"/>
          <w:szCs w:val="21"/>
          <w:highlight w:val="none"/>
        </w:rPr>
      </w:pPr>
      <w:bookmarkStart w:id="116" w:name="_Toc475249115"/>
      <w:r>
        <w:rPr>
          <w:rFonts w:ascii="Times New Roman"/>
          <w:sz w:val="24"/>
          <w:szCs w:val="21"/>
          <w:highlight w:val="none"/>
        </w:rPr>
        <w:t>2.定义</w:t>
      </w:r>
      <w:bookmarkEnd w:id="116"/>
    </w:p>
    <w:p w14:paraId="33C94D50">
      <w:pPr>
        <w:spacing w:line="360" w:lineRule="auto"/>
        <w:ind w:firstLine="480" w:firstLineChars="200"/>
        <w:outlineLvl w:val="3"/>
        <w:rPr>
          <w:rFonts w:ascii="宋体" w:hAnsi="宋体" w:eastAsia="宋体"/>
          <w:sz w:val="24"/>
          <w:szCs w:val="21"/>
          <w:highlight w:val="none"/>
        </w:rPr>
      </w:pPr>
      <w:r>
        <w:rPr>
          <w:rFonts w:eastAsia="宋体"/>
          <w:sz w:val="24"/>
          <w:szCs w:val="21"/>
          <w:highlight w:val="none"/>
        </w:rPr>
        <w:t>2.1“</w:t>
      </w:r>
      <w:r>
        <w:rPr>
          <w:rFonts w:hint="eastAsia" w:eastAsia="宋体"/>
          <w:sz w:val="24"/>
          <w:szCs w:val="21"/>
          <w:highlight w:val="none"/>
        </w:rPr>
        <w:t>采购人</w:t>
      </w:r>
      <w:r>
        <w:rPr>
          <w:rFonts w:eastAsia="宋体"/>
          <w:sz w:val="24"/>
          <w:szCs w:val="21"/>
          <w:highlight w:val="none"/>
        </w:rPr>
        <w:t>”是指</w:t>
      </w:r>
      <w:r>
        <w:rPr>
          <w:rFonts w:hint="eastAsia" w:ascii="宋体" w:hAnsi="宋体" w:eastAsia="宋体"/>
          <w:sz w:val="24"/>
          <w:szCs w:val="21"/>
          <w:highlight w:val="none"/>
        </w:rPr>
        <w:t>开平市中医院</w:t>
      </w:r>
      <w:r>
        <w:rPr>
          <w:rFonts w:ascii="宋体" w:hAnsi="宋体" w:eastAsia="宋体"/>
          <w:sz w:val="24"/>
          <w:szCs w:val="21"/>
          <w:highlight w:val="none"/>
        </w:rPr>
        <w:t>。</w:t>
      </w:r>
    </w:p>
    <w:p w14:paraId="3AA8C6F6">
      <w:pPr>
        <w:spacing w:line="360" w:lineRule="auto"/>
        <w:ind w:firstLine="480" w:firstLineChars="200"/>
        <w:rPr>
          <w:rFonts w:eastAsia="宋体"/>
          <w:sz w:val="24"/>
          <w:szCs w:val="21"/>
          <w:highlight w:val="none"/>
        </w:rPr>
      </w:pPr>
      <w:r>
        <w:rPr>
          <w:rFonts w:eastAsia="宋体"/>
          <w:sz w:val="24"/>
          <w:szCs w:val="21"/>
          <w:highlight w:val="none"/>
        </w:rPr>
        <w:t>2.</w:t>
      </w:r>
      <w:r>
        <w:rPr>
          <w:rFonts w:hint="eastAsia" w:eastAsia="宋体"/>
          <w:sz w:val="24"/>
          <w:szCs w:val="21"/>
          <w:highlight w:val="none"/>
        </w:rPr>
        <w:t>2</w:t>
      </w:r>
      <w:r>
        <w:rPr>
          <w:rFonts w:eastAsia="宋体"/>
          <w:sz w:val="24"/>
          <w:szCs w:val="21"/>
          <w:highlight w:val="none"/>
        </w:rPr>
        <w:t>“供应商”指向</w:t>
      </w:r>
      <w:r>
        <w:rPr>
          <w:rFonts w:hint="eastAsia" w:eastAsia="宋体"/>
          <w:sz w:val="24"/>
          <w:szCs w:val="21"/>
          <w:highlight w:val="none"/>
        </w:rPr>
        <w:t>采购人</w:t>
      </w:r>
      <w:r>
        <w:rPr>
          <w:rFonts w:eastAsia="宋体"/>
          <w:sz w:val="24"/>
          <w:szCs w:val="21"/>
          <w:highlight w:val="none"/>
        </w:rPr>
        <w:t>提交响应文件的法人、其他组织或自然人。</w:t>
      </w:r>
    </w:p>
    <w:p w14:paraId="4A199C89">
      <w:pPr>
        <w:spacing w:line="360" w:lineRule="auto"/>
        <w:ind w:firstLine="480" w:firstLineChars="200"/>
        <w:rPr>
          <w:rFonts w:eastAsia="宋体"/>
          <w:sz w:val="24"/>
          <w:szCs w:val="21"/>
          <w:highlight w:val="none"/>
        </w:rPr>
      </w:pPr>
      <w:r>
        <w:rPr>
          <w:rFonts w:eastAsia="宋体"/>
          <w:sz w:val="24"/>
          <w:szCs w:val="21"/>
          <w:highlight w:val="none"/>
        </w:rPr>
        <w:t>2.</w:t>
      </w:r>
      <w:r>
        <w:rPr>
          <w:rFonts w:hint="eastAsia" w:eastAsia="宋体"/>
          <w:sz w:val="24"/>
          <w:szCs w:val="21"/>
          <w:highlight w:val="none"/>
        </w:rPr>
        <w:t>3</w:t>
      </w:r>
      <w:r>
        <w:rPr>
          <w:rFonts w:eastAsia="宋体"/>
          <w:sz w:val="24"/>
          <w:szCs w:val="21"/>
          <w:highlight w:val="none"/>
        </w:rPr>
        <w:t>服务：</w:t>
      </w:r>
      <w:r>
        <w:rPr>
          <w:rFonts w:hint="eastAsia" w:eastAsia="宋体"/>
          <w:sz w:val="24"/>
          <w:szCs w:val="21"/>
          <w:highlight w:val="none"/>
        </w:rPr>
        <w:t>遴选</w:t>
      </w:r>
      <w:r>
        <w:rPr>
          <w:rFonts w:eastAsia="宋体"/>
          <w:sz w:val="24"/>
          <w:szCs w:val="21"/>
          <w:highlight w:val="none"/>
        </w:rPr>
        <w:t>文件规定卖方必须承担的咨询、技术协助及其它相关义务。</w:t>
      </w:r>
    </w:p>
    <w:p w14:paraId="3143985D">
      <w:pPr>
        <w:spacing w:line="360" w:lineRule="auto"/>
        <w:ind w:firstLine="480" w:firstLineChars="200"/>
        <w:rPr>
          <w:rFonts w:eastAsia="宋体"/>
          <w:sz w:val="24"/>
          <w:szCs w:val="21"/>
          <w:highlight w:val="none"/>
        </w:rPr>
      </w:pPr>
      <w:r>
        <w:rPr>
          <w:rFonts w:eastAsia="宋体"/>
          <w:sz w:val="24"/>
          <w:szCs w:val="21"/>
          <w:highlight w:val="none"/>
        </w:rPr>
        <w:t>2.</w:t>
      </w:r>
      <w:r>
        <w:rPr>
          <w:rFonts w:hint="eastAsia" w:eastAsia="宋体"/>
          <w:sz w:val="24"/>
          <w:szCs w:val="21"/>
          <w:highlight w:val="none"/>
        </w:rPr>
        <w:t>4</w:t>
      </w:r>
      <w:r>
        <w:rPr>
          <w:rFonts w:eastAsia="宋体"/>
          <w:sz w:val="24"/>
          <w:szCs w:val="21"/>
          <w:highlight w:val="none"/>
        </w:rPr>
        <w:t>语言：采购文件的语言为简体中文。</w:t>
      </w:r>
    </w:p>
    <w:p w14:paraId="0A3705C3">
      <w:pPr>
        <w:spacing w:line="360" w:lineRule="auto"/>
        <w:ind w:firstLine="480" w:firstLineChars="200"/>
        <w:rPr>
          <w:rFonts w:eastAsia="宋体"/>
          <w:sz w:val="24"/>
          <w:szCs w:val="21"/>
          <w:highlight w:val="none"/>
        </w:rPr>
      </w:pPr>
      <w:r>
        <w:rPr>
          <w:rFonts w:eastAsia="宋体"/>
          <w:sz w:val="24"/>
          <w:szCs w:val="21"/>
          <w:highlight w:val="none"/>
        </w:rPr>
        <w:t>2.</w:t>
      </w:r>
      <w:r>
        <w:rPr>
          <w:rFonts w:hint="eastAsia" w:eastAsia="宋体"/>
          <w:sz w:val="24"/>
          <w:szCs w:val="21"/>
          <w:highlight w:val="none"/>
        </w:rPr>
        <w:t>5</w:t>
      </w:r>
      <w:r>
        <w:rPr>
          <w:rFonts w:eastAsia="宋体"/>
          <w:sz w:val="24"/>
          <w:szCs w:val="21"/>
          <w:highlight w:val="none"/>
        </w:rPr>
        <w:t>日期：指公历日。</w:t>
      </w:r>
    </w:p>
    <w:p w14:paraId="47439CF4">
      <w:pPr>
        <w:spacing w:line="360" w:lineRule="auto"/>
        <w:ind w:firstLine="480" w:firstLineChars="200"/>
        <w:rPr>
          <w:rFonts w:eastAsia="宋体"/>
          <w:sz w:val="24"/>
          <w:szCs w:val="21"/>
          <w:highlight w:val="none"/>
        </w:rPr>
      </w:pPr>
      <w:r>
        <w:rPr>
          <w:rFonts w:eastAsia="宋体"/>
          <w:sz w:val="24"/>
          <w:szCs w:val="21"/>
          <w:highlight w:val="none"/>
        </w:rPr>
        <w:t>2.</w:t>
      </w:r>
      <w:r>
        <w:rPr>
          <w:rFonts w:hint="eastAsia" w:eastAsia="宋体"/>
          <w:sz w:val="24"/>
          <w:szCs w:val="21"/>
          <w:highlight w:val="none"/>
        </w:rPr>
        <w:t>6</w:t>
      </w:r>
      <w:r>
        <w:rPr>
          <w:rFonts w:eastAsia="宋体"/>
          <w:sz w:val="24"/>
          <w:szCs w:val="21"/>
          <w:highlight w:val="none"/>
        </w:rPr>
        <w:t>时间：指北京时间。</w:t>
      </w:r>
    </w:p>
    <w:p w14:paraId="47EA8A4C">
      <w:pPr>
        <w:pStyle w:val="5"/>
        <w:keepNext w:val="0"/>
        <w:keepLines w:val="0"/>
        <w:adjustRightInd/>
        <w:spacing w:before="0" w:after="0" w:line="360" w:lineRule="auto"/>
        <w:ind w:firstLine="482" w:firstLineChars="200"/>
        <w:rPr>
          <w:rFonts w:ascii="Times New Roman"/>
          <w:sz w:val="24"/>
          <w:szCs w:val="21"/>
          <w:highlight w:val="none"/>
        </w:rPr>
      </w:pPr>
      <w:bookmarkStart w:id="117" w:name="_Toc110953831"/>
      <w:bookmarkStart w:id="118" w:name="_Toc102277757"/>
      <w:bookmarkStart w:id="119" w:name="_Toc6968688"/>
      <w:bookmarkStart w:id="120" w:name="_Toc507407360"/>
      <w:bookmarkStart w:id="121" w:name="_Toc6882676"/>
      <w:bookmarkStart w:id="122" w:name="_Toc466786435"/>
      <w:r>
        <w:rPr>
          <w:rFonts w:ascii="Times New Roman"/>
          <w:sz w:val="24"/>
          <w:szCs w:val="21"/>
          <w:highlight w:val="none"/>
        </w:rPr>
        <w:t>3.适用法律</w:t>
      </w:r>
      <w:bookmarkEnd w:id="117"/>
    </w:p>
    <w:p w14:paraId="18F0F020">
      <w:pPr>
        <w:spacing w:line="360" w:lineRule="auto"/>
        <w:ind w:firstLine="480" w:firstLineChars="200"/>
        <w:rPr>
          <w:rFonts w:eastAsia="宋体"/>
          <w:sz w:val="24"/>
          <w:szCs w:val="21"/>
          <w:highlight w:val="none"/>
        </w:rPr>
      </w:pPr>
      <w:r>
        <w:rPr>
          <w:rFonts w:hint="eastAsia" w:eastAsia="宋体"/>
          <w:sz w:val="24"/>
          <w:szCs w:val="21"/>
          <w:highlight w:val="none"/>
        </w:rPr>
        <w:t>采购人和</w:t>
      </w:r>
      <w:r>
        <w:rPr>
          <w:rFonts w:eastAsia="宋体"/>
          <w:sz w:val="24"/>
          <w:szCs w:val="21"/>
          <w:highlight w:val="none"/>
        </w:rPr>
        <w:t>供应商均应当遵守《中华人民共和国政府采购法》、《中华人民共和国政府采购法实施条例》及相关法律法规。</w:t>
      </w:r>
    </w:p>
    <w:p w14:paraId="6B941CAD">
      <w:pPr>
        <w:pStyle w:val="5"/>
        <w:keepNext w:val="0"/>
        <w:keepLines w:val="0"/>
        <w:adjustRightInd/>
        <w:spacing w:before="0" w:after="0" w:line="360" w:lineRule="auto"/>
        <w:ind w:firstLine="482" w:firstLineChars="200"/>
        <w:rPr>
          <w:rFonts w:ascii="Times New Roman"/>
          <w:b w:val="0"/>
          <w:sz w:val="24"/>
          <w:szCs w:val="21"/>
          <w:highlight w:val="none"/>
        </w:rPr>
      </w:pPr>
      <w:bookmarkStart w:id="123" w:name="_Toc110953832"/>
      <w:r>
        <w:rPr>
          <w:rFonts w:ascii="Times New Roman"/>
          <w:sz w:val="24"/>
          <w:szCs w:val="21"/>
          <w:highlight w:val="none"/>
        </w:rPr>
        <w:t>4.知识产权</w:t>
      </w:r>
      <w:bookmarkEnd w:id="123"/>
    </w:p>
    <w:p w14:paraId="56CF9120">
      <w:pPr>
        <w:spacing w:line="360" w:lineRule="auto"/>
        <w:ind w:firstLine="480" w:firstLineChars="200"/>
        <w:rPr>
          <w:rFonts w:eastAsia="宋体"/>
          <w:sz w:val="24"/>
          <w:szCs w:val="21"/>
          <w:highlight w:val="none"/>
        </w:rPr>
      </w:pPr>
      <w:r>
        <w:rPr>
          <w:rFonts w:eastAsia="宋体"/>
          <w:sz w:val="24"/>
          <w:szCs w:val="21"/>
          <w:highlight w:val="none"/>
        </w:rPr>
        <w:t>4.1供应商应当保证，</w:t>
      </w:r>
      <w:r>
        <w:rPr>
          <w:rFonts w:hint="eastAsia" w:eastAsia="宋体"/>
          <w:sz w:val="24"/>
          <w:szCs w:val="21"/>
          <w:highlight w:val="none"/>
        </w:rPr>
        <w:t>采购人</w:t>
      </w:r>
      <w:r>
        <w:rPr>
          <w:rFonts w:eastAsia="宋体"/>
          <w:sz w:val="24"/>
          <w:szCs w:val="21"/>
          <w:highlight w:val="none"/>
        </w:rPr>
        <w:t>在中华人民共和国境内使用货物或货物的任何一部分时，</w:t>
      </w:r>
      <w:r>
        <w:rPr>
          <w:rFonts w:hint="eastAsia" w:eastAsia="宋体"/>
          <w:sz w:val="24"/>
          <w:szCs w:val="21"/>
          <w:highlight w:val="none"/>
        </w:rPr>
        <w:t>采购人</w:t>
      </w:r>
      <w:r>
        <w:rPr>
          <w:rFonts w:eastAsia="宋体"/>
          <w:sz w:val="24"/>
          <w:szCs w:val="21"/>
          <w:highlight w:val="none"/>
        </w:rPr>
        <w:t>免受第三方提出侵犯其专利权、商标权或其它知识产权的起诉。</w:t>
      </w:r>
    </w:p>
    <w:p w14:paraId="7B79B61B">
      <w:pPr>
        <w:spacing w:line="360" w:lineRule="auto"/>
        <w:ind w:firstLine="480" w:firstLineChars="200"/>
        <w:rPr>
          <w:rFonts w:eastAsia="宋体"/>
          <w:sz w:val="24"/>
          <w:szCs w:val="21"/>
          <w:highlight w:val="none"/>
        </w:rPr>
      </w:pPr>
      <w:r>
        <w:rPr>
          <w:rFonts w:eastAsia="宋体"/>
          <w:sz w:val="24"/>
          <w:szCs w:val="21"/>
          <w:highlight w:val="none"/>
        </w:rPr>
        <w:t>4.2最终确定的政府采购合同价格包括所有应支付的对专利权和版权、设计或其他知识产权而需要向其他方支付的版税。</w:t>
      </w:r>
    </w:p>
    <w:p w14:paraId="6E211C18">
      <w:pPr>
        <w:spacing w:line="360" w:lineRule="auto"/>
        <w:ind w:firstLine="480" w:firstLineChars="200"/>
        <w:rPr>
          <w:rFonts w:eastAsia="宋体"/>
          <w:sz w:val="24"/>
          <w:szCs w:val="21"/>
          <w:highlight w:val="none"/>
        </w:rPr>
      </w:pPr>
      <w:r>
        <w:rPr>
          <w:rFonts w:eastAsia="宋体"/>
          <w:sz w:val="24"/>
          <w:szCs w:val="21"/>
          <w:highlight w:val="none"/>
        </w:rPr>
        <w:t>4.3供应商不拥有响应的知识产权的，则在响应（</w:t>
      </w:r>
      <w:r>
        <w:rPr>
          <w:rFonts w:hint="eastAsia" w:eastAsia="宋体"/>
          <w:sz w:val="24"/>
          <w:szCs w:val="21"/>
          <w:highlight w:val="none"/>
        </w:rPr>
        <w:t>遴选</w:t>
      </w:r>
      <w:r>
        <w:rPr>
          <w:rFonts w:eastAsia="宋体"/>
          <w:sz w:val="24"/>
          <w:szCs w:val="21"/>
          <w:highlight w:val="none"/>
        </w:rPr>
        <w:t>）报价中必须包括有合法获取该知识产权的相关费用，否则，由此而产生的一切法律和经济纠纷由供应商承担责任。</w:t>
      </w:r>
    </w:p>
    <w:p w14:paraId="4494BB8A">
      <w:pPr>
        <w:pStyle w:val="5"/>
        <w:keepNext w:val="0"/>
        <w:keepLines w:val="0"/>
        <w:adjustRightInd/>
        <w:spacing w:before="0" w:after="0" w:line="360" w:lineRule="auto"/>
        <w:ind w:firstLine="482" w:firstLineChars="200"/>
        <w:rPr>
          <w:rFonts w:ascii="Times New Roman"/>
          <w:b w:val="0"/>
          <w:bCs/>
          <w:sz w:val="24"/>
          <w:szCs w:val="21"/>
          <w:highlight w:val="none"/>
        </w:rPr>
      </w:pPr>
      <w:bookmarkStart w:id="124" w:name="_Toc110953833"/>
      <w:r>
        <w:rPr>
          <w:rFonts w:ascii="Times New Roman"/>
          <w:sz w:val="24"/>
          <w:szCs w:val="21"/>
          <w:highlight w:val="none"/>
        </w:rPr>
        <w:t>5.禁止事项</w:t>
      </w:r>
      <w:bookmarkEnd w:id="124"/>
    </w:p>
    <w:p w14:paraId="4C4952EC">
      <w:pPr>
        <w:spacing w:line="360" w:lineRule="auto"/>
        <w:ind w:firstLine="480" w:firstLineChars="200"/>
        <w:rPr>
          <w:rFonts w:eastAsia="宋体"/>
          <w:sz w:val="24"/>
          <w:szCs w:val="21"/>
          <w:highlight w:val="none"/>
        </w:rPr>
      </w:pPr>
      <w:bookmarkStart w:id="125" w:name="_Toc98126293"/>
      <w:bookmarkStart w:id="126" w:name="_Toc98126218"/>
      <w:r>
        <w:rPr>
          <w:rFonts w:eastAsia="宋体"/>
          <w:sz w:val="24"/>
          <w:szCs w:val="21"/>
          <w:highlight w:val="none"/>
        </w:rPr>
        <w:t>5.1</w:t>
      </w:r>
      <w:r>
        <w:rPr>
          <w:rFonts w:hint="eastAsia" w:eastAsia="宋体"/>
          <w:sz w:val="24"/>
          <w:szCs w:val="21"/>
          <w:highlight w:val="none"/>
        </w:rPr>
        <w:t>采购人和</w:t>
      </w:r>
      <w:r>
        <w:rPr>
          <w:rFonts w:eastAsia="宋体"/>
          <w:sz w:val="24"/>
          <w:szCs w:val="21"/>
          <w:highlight w:val="none"/>
        </w:rPr>
        <w:t>供应商不得相互串通损害国家利益、社会公共利益和其他当事人的合法权益。</w:t>
      </w:r>
    </w:p>
    <w:p w14:paraId="365C38EE">
      <w:pPr>
        <w:spacing w:line="360" w:lineRule="auto"/>
        <w:ind w:firstLine="480" w:firstLineChars="200"/>
        <w:rPr>
          <w:rFonts w:eastAsia="宋体"/>
          <w:sz w:val="24"/>
          <w:szCs w:val="21"/>
          <w:highlight w:val="none"/>
        </w:rPr>
      </w:pPr>
      <w:r>
        <w:rPr>
          <w:rFonts w:eastAsia="宋体"/>
          <w:sz w:val="24"/>
          <w:szCs w:val="21"/>
          <w:highlight w:val="none"/>
        </w:rPr>
        <w:t>5.2供应商不得向</w:t>
      </w:r>
      <w:r>
        <w:rPr>
          <w:rFonts w:hint="eastAsia" w:eastAsia="宋体"/>
          <w:sz w:val="24"/>
          <w:szCs w:val="21"/>
          <w:highlight w:val="none"/>
        </w:rPr>
        <w:t>采购人</w:t>
      </w:r>
      <w:r>
        <w:rPr>
          <w:rFonts w:eastAsia="宋体"/>
          <w:sz w:val="24"/>
          <w:szCs w:val="21"/>
          <w:highlight w:val="none"/>
        </w:rPr>
        <w:t>、</w:t>
      </w:r>
      <w:r>
        <w:rPr>
          <w:rFonts w:hint="eastAsia" w:eastAsia="宋体"/>
          <w:sz w:val="24"/>
          <w:szCs w:val="21"/>
          <w:highlight w:val="none"/>
        </w:rPr>
        <w:t>遴选</w:t>
      </w:r>
      <w:r>
        <w:rPr>
          <w:rFonts w:eastAsia="宋体"/>
          <w:sz w:val="24"/>
          <w:szCs w:val="21"/>
          <w:highlight w:val="none"/>
        </w:rPr>
        <w:t>小组的组成人员行贿或者采取其他不正当手段谋取成交。</w:t>
      </w:r>
      <w:bookmarkEnd w:id="125"/>
      <w:bookmarkEnd w:id="126"/>
    </w:p>
    <w:p w14:paraId="59D8FA65">
      <w:pPr>
        <w:spacing w:line="360" w:lineRule="auto"/>
        <w:ind w:firstLine="480" w:firstLineChars="200"/>
        <w:rPr>
          <w:rFonts w:eastAsia="宋体"/>
          <w:sz w:val="24"/>
          <w:szCs w:val="21"/>
          <w:highlight w:val="none"/>
        </w:rPr>
      </w:pPr>
      <w:bookmarkStart w:id="127" w:name="_Toc98126219"/>
      <w:bookmarkStart w:id="128" w:name="_Toc98126294"/>
      <w:r>
        <w:rPr>
          <w:rFonts w:eastAsia="宋体"/>
          <w:sz w:val="24"/>
          <w:szCs w:val="21"/>
          <w:highlight w:val="none"/>
        </w:rPr>
        <w:t>5.</w:t>
      </w:r>
      <w:bookmarkEnd w:id="127"/>
      <w:bookmarkEnd w:id="128"/>
      <w:bookmarkStart w:id="129" w:name="_Toc98126220"/>
      <w:bookmarkStart w:id="130" w:name="_Toc98126295"/>
      <w:r>
        <w:rPr>
          <w:rFonts w:hint="eastAsia" w:eastAsia="宋体"/>
          <w:sz w:val="24"/>
          <w:szCs w:val="21"/>
          <w:highlight w:val="none"/>
        </w:rPr>
        <w:t>3</w:t>
      </w:r>
      <w:r>
        <w:rPr>
          <w:rFonts w:eastAsia="宋体"/>
          <w:sz w:val="24"/>
          <w:szCs w:val="21"/>
          <w:highlight w:val="none"/>
        </w:rPr>
        <w:t>除供应商被要求对响应文件进行质疑澄清外，从开启响应文件之时起至授予合同止，供应商不得就与其响应文件有关的事项主动与</w:t>
      </w:r>
      <w:r>
        <w:rPr>
          <w:rFonts w:hint="eastAsia" w:eastAsia="宋体"/>
          <w:sz w:val="24"/>
          <w:szCs w:val="21"/>
          <w:highlight w:val="none"/>
        </w:rPr>
        <w:t>遴选</w:t>
      </w:r>
      <w:r>
        <w:rPr>
          <w:rFonts w:eastAsia="宋体"/>
          <w:sz w:val="24"/>
          <w:szCs w:val="21"/>
          <w:highlight w:val="none"/>
        </w:rPr>
        <w:t>小组、</w:t>
      </w:r>
      <w:r>
        <w:rPr>
          <w:rFonts w:hint="eastAsia" w:eastAsia="宋体"/>
          <w:sz w:val="24"/>
          <w:szCs w:val="21"/>
          <w:highlight w:val="none"/>
        </w:rPr>
        <w:t>采购人</w:t>
      </w:r>
      <w:r>
        <w:rPr>
          <w:rFonts w:eastAsia="宋体"/>
          <w:sz w:val="24"/>
          <w:szCs w:val="21"/>
          <w:highlight w:val="none"/>
        </w:rPr>
        <w:t>接触。</w:t>
      </w:r>
      <w:bookmarkEnd w:id="129"/>
      <w:bookmarkEnd w:id="130"/>
    </w:p>
    <w:p w14:paraId="684D8936">
      <w:pPr>
        <w:pStyle w:val="5"/>
        <w:keepNext w:val="0"/>
        <w:keepLines w:val="0"/>
        <w:adjustRightInd/>
        <w:spacing w:before="0" w:after="0" w:line="360" w:lineRule="auto"/>
        <w:ind w:firstLine="482" w:firstLineChars="200"/>
        <w:rPr>
          <w:rFonts w:ascii="Times New Roman"/>
          <w:b w:val="0"/>
          <w:bCs/>
          <w:sz w:val="24"/>
          <w:szCs w:val="21"/>
          <w:highlight w:val="none"/>
        </w:rPr>
      </w:pPr>
      <w:bookmarkStart w:id="131" w:name="_Toc110953834"/>
      <w:r>
        <w:rPr>
          <w:rFonts w:ascii="Times New Roman"/>
          <w:sz w:val="24"/>
          <w:szCs w:val="21"/>
          <w:highlight w:val="none"/>
        </w:rPr>
        <w:t>6.保密及其它注意事项</w:t>
      </w:r>
      <w:bookmarkEnd w:id="131"/>
    </w:p>
    <w:p w14:paraId="0462D8CC">
      <w:pPr>
        <w:spacing w:line="360" w:lineRule="auto"/>
        <w:ind w:firstLine="480" w:firstLineChars="200"/>
        <w:rPr>
          <w:rFonts w:eastAsia="宋体"/>
          <w:sz w:val="24"/>
          <w:szCs w:val="21"/>
          <w:highlight w:val="none"/>
        </w:rPr>
      </w:pPr>
      <w:bookmarkStart w:id="132" w:name="_Toc98126222"/>
      <w:bookmarkStart w:id="133" w:name="_Toc98126297"/>
      <w:r>
        <w:rPr>
          <w:rFonts w:eastAsia="宋体"/>
          <w:sz w:val="24"/>
          <w:szCs w:val="21"/>
          <w:highlight w:val="none"/>
        </w:rPr>
        <w:t>6.1凡参与采购工作的有关人员均应自觉接受有关主管部门的监督，不得向他人透露可能影响公平竞争的有关情况。</w:t>
      </w:r>
      <w:bookmarkEnd w:id="132"/>
      <w:bookmarkEnd w:id="133"/>
    </w:p>
    <w:p w14:paraId="48E7A504">
      <w:pPr>
        <w:spacing w:line="360" w:lineRule="auto"/>
        <w:ind w:firstLine="480" w:firstLineChars="200"/>
        <w:rPr>
          <w:rFonts w:eastAsia="宋体"/>
          <w:sz w:val="24"/>
          <w:szCs w:val="21"/>
          <w:highlight w:val="none"/>
        </w:rPr>
      </w:pPr>
      <w:r>
        <w:rPr>
          <w:rFonts w:eastAsia="宋体"/>
          <w:sz w:val="24"/>
          <w:szCs w:val="21"/>
          <w:highlight w:val="none"/>
        </w:rPr>
        <w:t>6.2开启响应文件后，直至向成交供应商发出《成交通知书》止，凡与审查、澄清、评估和比较有关资料以及评审意见等，均不得向供应商及与评审无关的其他人透露。在采购工作结束后，与评审情况有接触的任何人，不得将评审情况扩散出</w:t>
      </w:r>
      <w:r>
        <w:rPr>
          <w:rFonts w:hint="eastAsia" w:eastAsia="宋体"/>
          <w:sz w:val="24"/>
          <w:szCs w:val="21"/>
          <w:highlight w:val="none"/>
        </w:rPr>
        <w:t>遴选</w:t>
      </w:r>
      <w:r>
        <w:rPr>
          <w:rFonts w:eastAsia="宋体"/>
          <w:sz w:val="24"/>
          <w:szCs w:val="21"/>
          <w:highlight w:val="none"/>
        </w:rPr>
        <w:t>小组人员之外。</w:t>
      </w:r>
    </w:p>
    <w:p w14:paraId="40E0006B">
      <w:pPr>
        <w:spacing w:line="360" w:lineRule="auto"/>
        <w:ind w:firstLine="480" w:firstLineChars="200"/>
        <w:rPr>
          <w:rFonts w:eastAsia="宋体"/>
          <w:sz w:val="24"/>
          <w:szCs w:val="21"/>
          <w:highlight w:val="none"/>
        </w:rPr>
      </w:pPr>
      <w:r>
        <w:rPr>
          <w:rFonts w:eastAsia="宋体"/>
          <w:sz w:val="24"/>
          <w:szCs w:val="21"/>
          <w:highlight w:val="none"/>
        </w:rPr>
        <w:t>6.3在评审期间，供应商不得向</w:t>
      </w:r>
      <w:r>
        <w:rPr>
          <w:rFonts w:hint="eastAsia" w:eastAsia="宋体"/>
          <w:sz w:val="24"/>
          <w:szCs w:val="21"/>
          <w:highlight w:val="none"/>
        </w:rPr>
        <w:t>遴选</w:t>
      </w:r>
      <w:r>
        <w:rPr>
          <w:rFonts w:eastAsia="宋体"/>
          <w:sz w:val="24"/>
          <w:szCs w:val="21"/>
          <w:highlight w:val="none"/>
        </w:rPr>
        <w:t>小组成员询问评审情况，不得进行旨在影响评审结果的活动。</w:t>
      </w:r>
    </w:p>
    <w:p w14:paraId="4C807625">
      <w:pPr>
        <w:spacing w:line="360" w:lineRule="auto"/>
        <w:ind w:firstLine="480" w:firstLineChars="200"/>
        <w:outlineLvl w:val="3"/>
        <w:rPr>
          <w:rFonts w:eastAsia="宋体"/>
          <w:sz w:val="24"/>
          <w:szCs w:val="21"/>
          <w:highlight w:val="none"/>
        </w:rPr>
      </w:pPr>
      <w:r>
        <w:rPr>
          <w:rFonts w:eastAsia="宋体"/>
          <w:sz w:val="24"/>
          <w:szCs w:val="21"/>
          <w:highlight w:val="none"/>
        </w:rPr>
        <w:t>6.4</w:t>
      </w:r>
      <w:r>
        <w:rPr>
          <w:rFonts w:hint="eastAsia" w:eastAsia="宋体"/>
          <w:sz w:val="24"/>
          <w:szCs w:val="21"/>
          <w:highlight w:val="none"/>
        </w:rPr>
        <w:t>遴选</w:t>
      </w:r>
      <w:r>
        <w:rPr>
          <w:rFonts w:eastAsia="宋体"/>
          <w:sz w:val="24"/>
          <w:szCs w:val="21"/>
          <w:highlight w:val="none"/>
        </w:rPr>
        <w:t>小组不向未成交供应商解释落选原因，不退还响应文件。</w:t>
      </w:r>
    </w:p>
    <w:p w14:paraId="74FC6331">
      <w:pPr>
        <w:spacing w:line="360" w:lineRule="auto"/>
        <w:ind w:firstLine="480" w:firstLineChars="200"/>
        <w:rPr>
          <w:rFonts w:eastAsia="宋体"/>
          <w:sz w:val="24"/>
          <w:szCs w:val="21"/>
          <w:highlight w:val="none"/>
        </w:rPr>
      </w:pPr>
      <w:r>
        <w:rPr>
          <w:rFonts w:eastAsia="宋体"/>
          <w:sz w:val="24"/>
          <w:szCs w:val="21"/>
          <w:highlight w:val="none"/>
        </w:rPr>
        <w:t>6.5所有供应商自行承担与响应有关的全部费用。</w:t>
      </w:r>
      <w:r>
        <w:rPr>
          <w:rFonts w:hint="eastAsia" w:eastAsia="宋体"/>
          <w:sz w:val="24"/>
          <w:szCs w:val="21"/>
          <w:highlight w:val="none"/>
        </w:rPr>
        <w:t>采购人</w:t>
      </w:r>
      <w:r>
        <w:rPr>
          <w:rFonts w:eastAsia="宋体"/>
          <w:sz w:val="24"/>
          <w:szCs w:val="21"/>
          <w:highlight w:val="none"/>
        </w:rPr>
        <w:t>在任何情况下均不承担该费用。</w:t>
      </w:r>
    </w:p>
    <w:p w14:paraId="29ED873E">
      <w:pPr>
        <w:pStyle w:val="5"/>
        <w:keepNext w:val="0"/>
        <w:keepLines w:val="0"/>
        <w:adjustRightInd/>
        <w:spacing w:before="0" w:after="0" w:line="360" w:lineRule="auto"/>
        <w:ind w:firstLine="482" w:firstLineChars="200"/>
        <w:rPr>
          <w:rFonts w:ascii="Times New Roman"/>
          <w:sz w:val="24"/>
          <w:szCs w:val="21"/>
          <w:highlight w:val="none"/>
        </w:rPr>
      </w:pPr>
      <w:bookmarkStart w:id="134" w:name="_Toc497016085"/>
      <w:r>
        <w:rPr>
          <w:rFonts w:ascii="Times New Roman"/>
          <w:sz w:val="24"/>
          <w:szCs w:val="21"/>
          <w:highlight w:val="none"/>
        </w:rPr>
        <w:t>7. 供应商诚信管理</w:t>
      </w:r>
      <w:bookmarkEnd w:id="134"/>
    </w:p>
    <w:p w14:paraId="717C4D56">
      <w:pPr>
        <w:spacing w:line="360" w:lineRule="auto"/>
        <w:ind w:firstLine="480" w:firstLineChars="200"/>
        <w:rPr>
          <w:rFonts w:eastAsia="宋体"/>
          <w:sz w:val="24"/>
          <w:szCs w:val="21"/>
          <w:highlight w:val="none"/>
        </w:rPr>
      </w:pPr>
      <w:r>
        <w:rPr>
          <w:rFonts w:eastAsia="宋体"/>
          <w:sz w:val="24"/>
          <w:szCs w:val="21"/>
          <w:highlight w:val="none"/>
        </w:rPr>
        <w:t>7.1供应商在本</w:t>
      </w:r>
      <w:r>
        <w:rPr>
          <w:rFonts w:hint="eastAsia" w:eastAsia="宋体"/>
          <w:sz w:val="24"/>
          <w:szCs w:val="21"/>
          <w:highlight w:val="none"/>
        </w:rPr>
        <w:t>遴选</w:t>
      </w:r>
      <w:r>
        <w:rPr>
          <w:rFonts w:eastAsia="宋体"/>
          <w:sz w:val="24"/>
          <w:szCs w:val="21"/>
          <w:highlight w:val="none"/>
        </w:rPr>
        <w:t>项目的竞争中应自觉遵循诚实信用原则，不得存在腐败、欺诈或其他严重违背诚信原则的行为。“腐败行为”是指提供、给予任何有价值的东西来影响</w:t>
      </w:r>
      <w:r>
        <w:rPr>
          <w:rFonts w:hint="eastAsia" w:eastAsia="宋体"/>
          <w:sz w:val="24"/>
          <w:szCs w:val="21"/>
          <w:highlight w:val="none"/>
        </w:rPr>
        <w:t>采购人</w:t>
      </w:r>
      <w:r>
        <w:rPr>
          <w:rFonts w:eastAsia="宋体"/>
          <w:sz w:val="24"/>
          <w:szCs w:val="21"/>
          <w:highlight w:val="none"/>
        </w:rPr>
        <w:t>员在采购过程或合同实施过程中的行为；“欺诈行为”是指为了影响采购过程或合同实施过程而谎报、隐瞒事实，损害</w:t>
      </w:r>
      <w:r>
        <w:rPr>
          <w:rFonts w:hint="eastAsia" w:eastAsia="宋体"/>
          <w:sz w:val="24"/>
          <w:szCs w:val="21"/>
          <w:highlight w:val="none"/>
        </w:rPr>
        <w:t>采购人</w:t>
      </w:r>
      <w:r>
        <w:rPr>
          <w:rFonts w:eastAsia="宋体"/>
          <w:sz w:val="24"/>
          <w:szCs w:val="21"/>
          <w:highlight w:val="none"/>
        </w:rPr>
        <w:t>的利益，包括供应商之间串通响应（递交响应书之前或之后），人为地使响应丧失竞争性，损害</w:t>
      </w:r>
      <w:r>
        <w:rPr>
          <w:rFonts w:hint="eastAsia" w:eastAsia="宋体"/>
          <w:sz w:val="24"/>
          <w:szCs w:val="21"/>
          <w:highlight w:val="none"/>
        </w:rPr>
        <w:t>采购人</w:t>
      </w:r>
      <w:r>
        <w:rPr>
          <w:rFonts w:eastAsia="宋体"/>
          <w:sz w:val="24"/>
          <w:szCs w:val="21"/>
          <w:highlight w:val="none"/>
        </w:rPr>
        <w:t>从公开竞争中所能获得的权益。</w:t>
      </w:r>
    </w:p>
    <w:p w14:paraId="068974E1">
      <w:pPr>
        <w:spacing w:line="360" w:lineRule="auto"/>
        <w:ind w:firstLine="480" w:firstLineChars="200"/>
        <w:rPr>
          <w:rFonts w:eastAsia="宋体"/>
          <w:sz w:val="24"/>
          <w:szCs w:val="21"/>
          <w:highlight w:val="none"/>
        </w:rPr>
      </w:pPr>
      <w:r>
        <w:rPr>
          <w:rFonts w:eastAsia="宋体"/>
          <w:sz w:val="24"/>
          <w:szCs w:val="21"/>
          <w:highlight w:val="none"/>
        </w:rPr>
        <w:t>7.2 如果</w:t>
      </w:r>
      <w:r>
        <w:rPr>
          <w:rFonts w:hint="eastAsia" w:eastAsia="宋体"/>
          <w:sz w:val="24"/>
          <w:szCs w:val="21"/>
          <w:highlight w:val="none"/>
        </w:rPr>
        <w:t>采购人</w:t>
      </w:r>
      <w:r>
        <w:rPr>
          <w:rFonts w:eastAsia="宋体"/>
          <w:sz w:val="24"/>
          <w:szCs w:val="21"/>
          <w:highlight w:val="none"/>
        </w:rPr>
        <w:t>有证据表明供应商在本</w:t>
      </w:r>
      <w:r>
        <w:rPr>
          <w:rFonts w:hint="eastAsia" w:eastAsia="宋体"/>
          <w:sz w:val="24"/>
          <w:szCs w:val="21"/>
          <w:highlight w:val="none"/>
        </w:rPr>
        <w:t>遴选</w:t>
      </w:r>
      <w:r>
        <w:rPr>
          <w:rFonts w:eastAsia="宋体"/>
          <w:sz w:val="24"/>
          <w:szCs w:val="21"/>
          <w:highlight w:val="none"/>
        </w:rPr>
        <w:t>项目的竞争中存在腐败、欺诈或其他严重违背诚信原则的行为，则将拒绝其响应。</w:t>
      </w:r>
    </w:p>
    <w:p w14:paraId="4353DBD1">
      <w:pPr>
        <w:spacing w:line="360" w:lineRule="auto"/>
        <w:ind w:firstLine="480" w:firstLineChars="200"/>
        <w:outlineLvl w:val="3"/>
        <w:rPr>
          <w:rFonts w:eastAsia="宋体"/>
          <w:sz w:val="24"/>
          <w:szCs w:val="21"/>
          <w:highlight w:val="none"/>
        </w:rPr>
      </w:pPr>
      <w:r>
        <w:rPr>
          <w:rFonts w:eastAsia="宋体"/>
          <w:sz w:val="24"/>
          <w:szCs w:val="21"/>
          <w:highlight w:val="none"/>
        </w:rPr>
        <w:t>7.3 供应商有下列情形之一，将作不良诚信记录</w:t>
      </w:r>
      <w:r>
        <w:rPr>
          <w:rFonts w:hint="eastAsia" w:eastAsia="宋体"/>
          <w:sz w:val="24"/>
          <w:szCs w:val="21"/>
          <w:highlight w:val="none"/>
        </w:rPr>
        <w:t>：</w:t>
      </w:r>
    </w:p>
    <w:p w14:paraId="094F67AB">
      <w:pPr>
        <w:spacing w:line="360" w:lineRule="auto"/>
        <w:ind w:firstLine="480" w:firstLineChars="200"/>
        <w:rPr>
          <w:rFonts w:eastAsia="宋体"/>
          <w:sz w:val="24"/>
          <w:szCs w:val="21"/>
          <w:highlight w:val="none"/>
        </w:rPr>
      </w:pPr>
      <w:r>
        <w:rPr>
          <w:rFonts w:eastAsia="宋体"/>
          <w:sz w:val="24"/>
          <w:szCs w:val="21"/>
          <w:highlight w:val="none"/>
        </w:rPr>
        <w:t>（1）提供虚假材料参加政府采购活动谋取成交的；</w:t>
      </w:r>
    </w:p>
    <w:p w14:paraId="321CA320">
      <w:pPr>
        <w:spacing w:line="360" w:lineRule="auto"/>
        <w:ind w:firstLine="480" w:firstLineChars="200"/>
        <w:rPr>
          <w:rFonts w:eastAsia="宋体"/>
          <w:sz w:val="24"/>
          <w:szCs w:val="21"/>
          <w:highlight w:val="none"/>
        </w:rPr>
      </w:pPr>
      <w:r>
        <w:rPr>
          <w:rFonts w:eastAsia="宋体"/>
          <w:sz w:val="24"/>
          <w:szCs w:val="21"/>
          <w:highlight w:val="none"/>
        </w:rPr>
        <w:t>（2）开启响应文件后擅自撤销响应，影响</w:t>
      </w:r>
      <w:r>
        <w:rPr>
          <w:rFonts w:hint="eastAsia" w:eastAsia="宋体"/>
          <w:sz w:val="24"/>
          <w:szCs w:val="21"/>
          <w:highlight w:val="none"/>
        </w:rPr>
        <w:t>遴选</w:t>
      </w:r>
      <w:r>
        <w:rPr>
          <w:rFonts w:eastAsia="宋体"/>
          <w:sz w:val="24"/>
          <w:szCs w:val="21"/>
          <w:highlight w:val="none"/>
        </w:rPr>
        <w:t>继续进行的；</w:t>
      </w:r>
    </w:p>
    <w:p w14:paraId="29F49DDC">
      <w:pPr>
        <w:spacing w:line="360" w:lineRule="auto"/>
        <w:ind w:firstLine="480" w:firstLineChars="200"/>
        <w:rPr>
          <w:rFonts w:eastAsia="宋体"/>
          <w:sz w:val="24"/>
          <w:szCs w:val="21"/>
          <w:highlight w:val="none"/>
        </w:rPr>
      </w:pPr>
      <w:r>
        <w:rPr>
          <w:rFonts w:eastAsia="宋体"/>
          <w:sz w:val="24"/>
          <w:szCs w:val="21"/>
          <w:highlight w:val="none"/>
        </w:rPr>
        <w:t>（3）采取不正当手段诋毁、排挤其他供应商的；</w:t>
      </w:r>
    </w:p>
    <w:p w14:paraId="7B4C24E1">
      <w:pPr>
        <w:spacing w:line="360" w:lineRule="auto"/>
        <w:ind w:firstLine="480" w:firstLineChars="200"/>
        <w:rPr>
          <w:rFonts w:eastAsia="宋体"/>
          <w:sz w:val="24"/>
          <w:szCs w:val="21"/>
          <w:highlight w:val="none"/>
        </w:rPr>
      </w:pPr>
      <w:r>
        <w:rPr>
          <w:rFonts w:eastAsia="宋体"/>
          <w:sz w:val="24"/>
          <w:szCs w:val="21"/>
          <w:highlight w:val="none"/>
        </w:rPr>
        <w:t>（4）与</w:t>
      </w:r>
      <w:r>
        <w:rPr>
          <w:rFonts w:hint="eastAsia" w:eastAsia="宋体"/>
          <w:sz w:val="24"/>
          <w:szCs w:val="21"/>
          <w:highlight w:val="none"/>
        </w:rPr>
        <w:t>采购人或</w:t>
      </w:r>
      <w:r>
        <w:rPr>
          <w:rFonts w:eastAsia="宋体"/>
          <w:sz w:val="24"/>
          <w:szCs w:val="21"/>
          <w:highlight w:val="none"/>
        </w:rPr>
        <w:t>其他供应商恶意串通的；</w:t>
      </w:r>
    </w:p>
    <w:p w14:paraId="4ED7FC80">
      <w:pPr>
        <w:spacing w:line="360" w:lineRule="auto"/>
        <w:ind w:firstLine="480" w:firstLineChars="200"/>
        <w:rPr>
          <w:rFonts w:eastAsia="宋体"/>
          <w:sz w:val="24"/>
          <w:szCs w:val="21"/>
          <w:highlight w:val="none"/>
        </w:rPr>
      </w:pPr>
      <w:r>
        <w:rPr>
          <w:rFonts w:eastAsia="宋体"/>
          <w:sz w:val="24"/>
          <w:szCs w:val="21"/>
          <w:highlight w:val="none"/>
        </w:rPr>
        <w:t>（5）成交后无正当理由拒绝签订合同的；</w:t>
      </w:r>
    </w:p>
    <w:p w14:paraId="6D454552">
      <w:pPr>
        <w:spacing w:line="360" w:lineRule="auto"/>
        <w:ind w:firstLine="480" w:firstLineChars="200"/>
        <w:rPr>
          <w:rFonts w:eastAsia="宋体"/>
          <w:sz w:val="24"/>
          <w:szCs w:val="21"/>
          <w:highlight w:val="none"/>
        </w:rPr>
      </w:pPr>
      <w:r>
        <w:rPr>
          <w:rFonts w:eastAsia="宋体"/>
          <w:sz w:val="24"/>
          <w:szCs w:val="21"/>
          <w:highlight w:val="none"/>
        </w:rPr>
        <w:t>（6）无正当理由拒绝履行合同的；</w:t>
      </w:r>
    </w:p>
    <w:p w14:paraId="6CAF6B34">
      <w:pPr>
        <w:spacing w:line="360" w:lineRule="auto"/>
        <w:ind w:firstLine="480" w:firstLineChars="200"/>
        <w:rPr>
          <w:rFonts w:eastAsia="宋体"/>
          <w:sz w:val="24"/>
          <w:szCs w:val="21"/>
          <w:highlight w:val="none"/>
        </w:rPr>
      </w:pPr>
      <w:r>
        <w:rPr>
          <w:rFonts w:eastAsia="宋体"/>
          <w:sz w:val="24"/>
          <w:szCs w:val="21"/>
          <w:highlight w:val="none"/>
        </w:rPr>
        <w:t>（7）故意提供假冒伪劣产品或走私物品的；</w:t>
      </w:r>
    </w:p>
    <w:p w14:paraId="7C5F1079">
      <w:pPr>
        <w:spacing w:line="360" w:lineRule="auto"/>
        <w:ind w:firstLine="480" w:firstLineChars="200"/>
        <w:rPr>
          <w:rFonts w:eastAsia="宋体"/>
          <w:sz w:val="24"/>
          <w:szCs w:val="21"/>
          <w:highlight w:val="none"/>
        </w:rPr>
      </w:pPr>
      <w:r>
        <w:rPr>
          <w:rFonts w:eastAsia="宋体"/>
          <w:sz w:val="24"/>
          <w:szCs w:val="21"/>
          <w:highlight w:val="none"/>
        </w:rPr>
        <w:t>（8）拒绝提供售后服务，给</w:t>
      </w:r>
      <w:r>
        <w:rPr>
          <w:rFonts w:hint="eastAsia" w:eastAsia="宋体"/>
          <w:sz w:val="24"/>
          <w:szCs w:val="21"/>
          <w:highlight w:val="none"/>
        </w:rPr>
        <w:t>采购人</w:t>
      </w:r>
      <w:r>
        <w:rPr>
          <w:rFonts w:eastAsia="宋体"/>
          <w:sz w:val="24"/>
          <w:szCs w:val="21"/>
          <w:highlight w:val="none"/>
        </w:rPr>
        <w:t>造成损害的；</w:t>
      </w:r>
    </w:p>
    <w:p w14:paraId="5DAB4FD8">
      <w:pPr>
        <w:spacing w:line="360" w:lineRule="auto"/>
        <w:ind w:firstLine="480" w:firstLineChars="200"/>
        <w:rPr>
          <w:rFonts w:eastAsia="宋体"/>
          <w:sz w:val="24"/>
          <w:szCs w:val="21"/>
          <w:highlight w:val="none"/>
        </w:rPr>
      </w:pPr>
      <w:r>
        <w:rPr>
          <w:rFonts w:eastAsia="宋体"/>
          <w:sz w:val="24"/>
          <w:szCs w:val="21"/>
          <w:highlight w:val="none"/>
        </w:rPr>
        <w:t>（9）恶意投诉，给</w:t>
      </w:r>
      <w:r>
        <w:rPr>
          <w:rFonts w:hint="eastAsia" w:eastAsia="宋体"/>
          <w:sz w:val="24"/>
          <w:szCs w:val="21"/>
          <w:highlight w:val="none"/>
        </w:rPr>
        <w:t>采购人</w:t>
      </w:r>
      <w:r>
        <w:rPr>
          <w:rFonts w:eastAsia="宋体"/>
          <w:sz w:val="24"/>
          <w:szCs w:val="21"/>
          <w:highlight w:val="none"/>
        </w:rPr>
        <w:t>造成损害的；</w:t>
      </w:r>
    </w:p>
    <w:p w14:paraId="5E9E5132">
      <w:pPr>
        <w:spacing w:line="360" w:lineRule="auto"/>
        <w:ind w:firstLine="480" w:firstLineChars="200"/>
        <w:rPr>
          <w:rFonts w:eastAsia="宋体"/>
          <w:sz w:val="24"/>
          <w:szCs w:val="21"/>
          <w:highlight w:val="none"/>
        </w:rPr>
      </w:pPr>
      <w:r>
        <w:rPr>
          <w:rFonts w:eastAsia="宋体"/>
          <w:sz w:val="24"/>
          <w:szCs w:val="21"/>
          <w:highlight w:val="none"/>
        </w:rPr>
        <w:t>（10）拒绝有关部门监督检查或者提供虚假情况的；</w:t>
      </w:r>
    </w:p>
    <w:p w14:paraId="5E78E154">
      <w:pPr>
        <w:spacing w:line="360" w:lineRule="auto"/>
        <w:ind w:firstLine="480" w:firstLineChars="200"/>
        <w:rPr>
          <w:rFonts w:eastAsia="宋体"/>
          <w:sz w:val="24"/>
          <w:szCs w:val="21"/>
          <w:highlight w:val="none"/>
        </w:rPr>
      </w:pPr>
      <w:r>
        <w:rPr>
          <w:rFonts w:eastAsia="宋体"/>
          <w:sz w:val="24"/>
          <w:szCs w:val="21"/>
          <w:highlight w:val="none"/>
        </w:rPr>
        <w:t>（11）经认定的其他有违诚实信用的行为。</w:t>
      </w:r>
    </w:p>
    <w:p w14:paraId="591BC07E">
      <w:pPr>
        <w:spacing w:line="360" w:lineRule="auto"/>
        <w:ind w:firstLine="480" w:firstLineChars="200"/>
        <w:rPr>
          <w:rFonts w:eastAsia="宋体"/>
          <w:sz w:val="24"/>
          <w:szCs w:val="21"/>
          <w:highlight w:val="none"/>
        </w:rPr>
      </w:pPr>
    </w:p>
    <w:p w14:paraId="1C4DC796">
      <w:pPr>
        <w:pStyle w:val="3"/>
        <w:keepNext w:val="0"/>
        <w:keepLines w:val="0"/>
        <w:adjustRightInd/>
        <w:spacing w:before="0" w:after="0" w:line="360" w:lineRule="auto"/>
        <w:ind w:firstLine="482" w:firstLineChars="200"/>
        <w:jc w:val="center"/>
        <w:rPr>
          <w:rFonts w:ascii="Times New Roman" w:hAnsi="Times New Roman" w:eastAsia="宋体"/>
          <w:sz w:val="24"/>
          <w:szCs w:val="21"/>
          <w:highlight w:val="none"/>
        </w:rPr>
      </w:pPr>
      <w:bookmarkStart w:id="135" w:name="_Toc184723300"/>
      <w:r>
        <w:rPr>
          <w:rFonts w:ascii="Times New Roman" w:hAnsi="Times New Roman" w:eastAsia="宋体"/>
          <w:sz w:val="24"/>
          <w:szCs w:val="21"/>
          <w:highlight w:val="none"/>
        </w:rPr>
        <w:t>二、</w:t>
      </w:r>
      <w:r>
        <w:rPr>
          <w:rFonts w:hint="eastAsia" w:ascii="Times New Roman" w:hAnsi="Times New Roman" w:eastAsia="宋体"/>
          <w:sz w:val="24"/>
          <w:szCs w:val="21"/>
          <w:highlight w:val="none"/>
        </w:rPr>
        <w:t>遴选</w:t>
      </w:r>
      <w:r>
        <w:rPr>
          <w:rFonts w:ascii="Times New Roman" w:hAnsi="Times New Roman" w:eastAsia="宋体"/>
          <w:sz w:val="24"/>
          <w:szCs w:val="21"/>
          <w:highlight w:val="none"/>
        </w:rPr>
        <w:t>文件说明</w:t>
      </w:r>
      <w:bookmarkEnd w:id="118"/>
      <w:bookmarkEnd w:id="119"/>
      <w:bookmarkEnd w:id="120"/>
      <w:bookmarkEnd w:id="121"/>
      <w:bookmarkEnd w:id="122"/>
      <w:bookmarkEnd w:id="135"/>
    </w:p>
    <w:p w14:paraId="37573F6B">
      <w:pPr>
        <w:pStyle w:val="5"/>
        <w:keepNext w:val="0"/>
        <w:keepLines w:val="0"/>
        <w:adjustRightInd/>
        <w:spacing w:before="0" w:after="0" w:line="360" w:lineRule="auto"/>
        <w:ind w:firstLine="482" w:firstLineChars="200"/>
        <w:rPr>
          <w:rFonts w:ascii="Times New Roman"/>
          <w:sz w:val="24"/>
          <w:szCs w:val="21"/>
          <w:highlight w:val="none"/>
        </w:rPr>
      </w:pPr>
      <w:bookmarkStart w:id="136" w:name="_Toc110953836"/>
      <w:bookmarkStart w:id="137" w:name="_Toc102277758"/>
      <w:bookmarkStart w:id="138" w:name="_Toc6968689"/>
      <w:bookmarkStart w:id="139" w:name="_Toc6882677"/>
      <w:bookmarkStart w:id="140" w:name="_Toc466786436"/>
      <w:bookmarkStart w:id="141" w:name="_Toc507407361"/>
      <w:r>
        <w:rPr>
          <w:rFonts w:ascii="Times New Roman"/>
          <w:sz w:val="24"/>
          <w:szCs w:val="21"/>
          <w:highlight w:val="none"/>
        </w:rPr>
        <w:t>8.</w:t>
      </w:r>
      <w:r>
        <w:rPr>
          <w:rFonts w:hint="eastAsia" w:ascii="Times New Roman"/>
          <w:sz w:val="24"/>
          <w:szCs w:val="21"/>
          <w:highlight w:val="none"/>
        </w:rPr>
        <w:t>遴选</w:t>
      </w:r>
      <w:r>
        <w:rPr>
          <w:rFonts w:ascii="Times New Roman"/>
          <w:sz w:val="24"/>
          <w:szCs w:val="21"/>
          <w:highlight w:val="none"/>
        </w:rPr>
        <w:t>文件构成</w:t>
      </w:r>
      <w:bookmarkEnd w:id="136"/>
    </w:p>
    <w:p w14:paraId="388B0B28">
      <w:pPr>
        <w:spacing w:line="360" w:lineRule="auto"/>
        <w:ind w:firstLine="480" w:firstLineChars="200"/>
        <w:rPr>
          <w:rFonts w:eastAsia="宋体"/>
          <w:sz w:val="24"/>
          <w:szCs w:val="21"/>
          <w:highlight w:val="none"/>
        </w:rPr>
      </w:pPr>
      <w:r>
        <w:rPr>
          <w:rFonts w:eastAsia="宋体"/>
          <w:sz w:val="24"/>
          <w:szCs w:val="21"/>
          <w:highlight w:val="none"/>
        </w:rPr>
        <w:t>8.1</w:t>
      </w:r>
      <w:r>
        <w:rPr>
          <w:rFonts w:hint="eastAsia" w:eastAsia="宋体"/>
          <w:sz w:val="24"/>
          <w:szCs w:val="21"/>
          <w:highlight w:val="none"/>
        </w:rPr>
        <w:t>遴选</w:t>
      </w:r>
      <w:r>
        <w:rPr>
          <w:rFonts w:eastAsia="宋体"/>
          <w:sz w:val="24"/>
          <w:szCs w:val="21"/>
          <w:highlight w:val="none"/>
        </w:rPr>
        <w:t>文件用以阐明项目情况、评审程序、评审办法、定标标准和合同条款参考范本和响应文件的制作等，由</w:t>
      </w:r>
      <w:r>
        <w:rPr>
          <w:rFonts w:hint="eastAsia" w:eastAsia="宋体"/>
          <w:sz w:val="24"/>
          <w:szCs w:val="21"/>
          <w:highlight w:val="none"/>
        </w:rPr>
        <w:t>遴选</w:t>
      </w:r>
      <w:r>
        <w:rPr>
          <w:rFonts w:eastAsia="宋体"/>
          <w:sz w:val="24"/>
          <w:szCs w:val="21"/>
          <w:highlight w:val="none"/>
        </w:rPr>
        <w:t>邀请函、采购需求、供应商须知</w:t>
      </w:r>
      <w:r>
        <w:rPr>
          <w:rFonts w:hint="eastAsia" w:eastAsia="宋体"/>
          <w:sz w:val="24"/>
          <w:szCs w:val="21"/>
          <w:highlight w:val="none"/>
        </w:rPr>
        <w:t>、</w:t>
      </w:r>
      <w:r>
        <w:rPr>
          <w:rFonts w:eastAsia="宋体"/>
          <w:sz w:val="24"/>
          <w:szCs w:val="21"/>
          <w:highlight w:val="none"/>
        </w:rPr>
        <w:t>评审办法、合同范本</w:t>
      </w:r>
      <w:r>
        <w:rPr>
          <w:rFonts w:hint="eastAsia" w:eastAsia="宋体"/>
          <w:sz w:val="24"/>
          <w:szCs w:val="21"/>
          <w:highlight w:val="none"/>
        </w:rPr>
        <w:t>和</w:t>
      </w:r>
      <w:r>
        <w:rPr>
          <w:rFonts w:eastAsia="宋体"/>
          <w:sz w:val="24"/>
          <w:szCs w:val="21"/>
          <w:highlight w:val="none"/>
        </w:rPr>
        <w:t>响应文件格式构成。</w:t>
      </w:r>
    </w:p>
    <w:p w14:paraId="41D6373B">
      <w:pPr>
        <w:pStyle w:val="5"/>
        <w:keepNext w:val="0"/>
        <w:keepLines w:val="0"/>
        <w:adjustRightInd/>
        <w:spacing w:before="0" w:after="0" w:line="360" w:lineRule="auto"/>
        <w:ind w:firstLine="482" w:firstLineChars="200"/>
        <w:rPr>
          <w:rFonts w:ascii="Times New Roman"/>
          <w:sz w:val="24"/>
          <w:szCs w:val="21"/>
          <w:highlight w:val="none"/>
        </w:rPr>
      </w:pPr>
      <w:bookmarkStart w:id="142" w:name="_Toc110953837"/>
      <w:r>
        <w:rPr>
          <w:rFonts w:ascii="Times New Roman"/>
          <w:sz w:val="24"/>
          <w:szCs w:val="21"/>
          <w:highlight w:val="none"/>
        </w:rPr>
        <w:t>9.</w:t>
      </w:r>
      <w:r>
        <w:rPr>
          <w:rFonts w:hint="eastAsia" w:ascii="Times New Roman"/>
          <w:sz w:val="24"/>
          <w:szCs w:val="21"/>
          <w:highlight w:val="none"/>
        </w:rPr>
        <w:t>遴选</w:t>
      </w:r>
      <w:r>
        <w:rPr>
          <w:rFonts w:ascii="Times New Roman"/>
          <w:sz w:val="24"/>
          <w:szCs w:val="21"/>
          <w:highlight w:val="none"/>
        </w:rPr>
        <w:t>文件的修改</w:t>
      </w:r>
      <w:bookmarkEnd w:id="142"/>
    </w:p>
    <w:p w14:paraId="0321A9C7">
      <w:pPr>
        <w:spacing w:line="360" w:lineRule="auto"/>
        <w:ind w:firstLine="480" w:firstLineChars="200"/>
        <w:rPr>
          <w:rFonts w:eastAsia="宋体"/>
          <w:sz w:val="24"/>
          <w:szCs w:val="21"/>
          <w:highlight w:val="none"/>
        </w:rPr>
      </w:pPr>
      <w:r>
        <w:rPr>
          <w:rFonts w:eastAsia="宋体"/>
          <w:sz w:val="24"/>
          <w:szCs w:val="21"/>
          <w:highlight w:val="none"/>
        </w:rPr>
        <w:t>9.1提交首次响应文件截止之日前，</w:t>
      </w:r>
      <w:r>
        <w:rPr>
          <w:rFonts w:hint="eastAsia" w:eastAsia="宋体"/>
          <w:sz w:val="24"/>
          <w:szCs w:val="21"/>
          <w:highlight w:val="none"/>
        </w:rPr>
        <w:t>采购人</w:t>
      </w:r>
      <w:r>
        <w:rPr>
          <w:rFonts w:eastAsia="宋体"/>
          <w:sz w:val="24"/>
          <w:szCs w:val="21"/>
          <w:highlight w:val="none"/>
        </w:rPr>
        <w:t>或者</w:t>
      </w:r>
      <w:r>
        <w:rPr>
          <w:rFonts w:hint="eastAsia" w:eastAsia="宋体"/>
          <w:sz w:val="24"/>
          <w:szCs w:val="21"/>
          <w:highlight w:val="none"/>
        </w:rPr>
        <w:t>遴选</w:t>
      </w:r>
      <w:r>
        <w:rPr>
          <w:rFonts w:eastAsia="宋体"/>
          <w:sz w:val="24"/>
          <w:szCs w:val="21"/>
          <w:highlight w:val="none"/>
        </w:rPr>
        <w:t>小组可以对已发出的</w:t>
      </w:r>
      <w:r>
        <w:rPr>
          <w:rFonts w:hint="eastAsia" w:eastAsia="宋体"/>
          <w:sz w:val="24"/>
          <w:szCs w:val="21"/>
          <w:highlight w:val="none"/>
        </w:rPr>
        <w:t>遴选</w:t>
      </w:r>
      <w:r>
        <w:rPr>
          <w:rFonts w:eastAsia="宋体"/>
          <w:sz w:val="24"/>
          <w:szCs w:val="21"/>
          <w:highlight w:val="none"/>
        </w:rPr>
        <w:t>文件进行必要的澄清或者修改，澄清或者修改的内容作为</w:t>
      </w:r>
      <w:r>
        <w:rPr>
          <w:rFonts w:hint="eastAsia" w:eastAsia="宋体"/>
          <w:sz w:val="24"/>
          <w:szCs w:val="21"/>
          <w:highlight w:val="none"/>
        </w:rPr>
        <w:t>遴选</w:t>
      </w:r>
      <w:r>
        <w:rPr>
          <w:rFonts w:eastAsia="宋体"/>
          <w:sz w:val="24"/>
          <w:szCs w:val="21"/>
          <w:highlight w:val="none"/>
        </w:rPr>
        <w:t>文件的组成部分。澄清或者修改的内容可能影响响应文件编制的，将在提交首次响应文件截止时间5日前以书面形式通知所有获取</w:t>
      </w:r>
      <w:r>
        <w:rPr>
          <w:rFonts w:hint="eastAsia" w:eastAsia="宋体"/>
          <w:sz w:val="24"/>
          <w:szCs w:val="21"/>
          <w:highlight w:val="none"/>
        </w:rPr>
        <w:t>遴选</w:t>
      </w:r>
      <w:r>
        <w:rPr>
          <w:rFonts w:eastAsia="宋体"/>
          <w:sz w:val="24"/>
          <w:szCs w:val="21"/>
          <w:highlight w:val="none"/>
        </w:rPr>
        <w:t>文件的供应商。</w:t>
      </w:r>
    </w:p>
    <w:p w14:paraId="41B684F1">
      <w:pPr>
        <w:spacing w:line="360" w:lineRule="auto"/>
        <w:ind w:firstLine="480" w:firstLineChars="200"/>
        <w:rPr>
          <w:rFonts w:eastAsia="宋体"/>
          <w:sz w:val="24"/>
          <w:szCs w:val="21"/>
          <w:highlight w:val="none"/>
        </w:rPr>
      </w:pPr>
      <w:r>
        <w:rPr>
          <w:rFonts w:eastAsia="宋体"/>
          <w:sz w:val="24"/>
          <w:szCs w:val="21"/>
          <w:highlight w:val="none"/>
        </w:rPr>
        <w:t>9.2如果修改的时间距响应文件递交截止时间不足5日的，将相应顺延递交首次响应文件截止时间。</w:t>
      </w:r>
      <w:bookmarkEnd w:id="137"/>
      <w:bookmarkEnd w:id="138"/>
      <w:bookmarkEnd w:id="139"/>
      <w:bookmarkEnd w:id="140"/>
      <w:bookmarkEnd w:id="141"/>
      <w:bookmarkStart w:id="143" w:name="_Toc110953838"/>
      <w:bookmarkStart w:id="144" w:name="_Toc466786437"/>
      <w:bookmarkStart w:id="145" w:name="_Toc6968690"/>
      <w:bookmarkStart w:id="146" w:name="_Toc102277759"/>
      <w:bookmarkStart w:id="147" w:name="_Toc6882678"/>
      <w:bookmarkStart w:id="148" w:name="_Toc507407362"/>
    </w:p>
    <w:p w14:paraId="28889EA3">
      <w:pPr>
        <w:spacing w:line="360" w:lineRule="auto"/>
        <w:rPr>
          <w:highlight w:val="none"/>
        </w:rPr>
      </w:pPr>
    </w:p>
    <w:p w14:paraId="76DB01A1">
      <w:pPr>
        <w:pStyle w:val="3"/>
        <w:keepNext w:val="0"/>
        <w:keepLines w:val="0"/>
        <w:adjustRightInd/>
        <w:spacing w:before="0" w:after="0" w:line="360" w:lineRule="auto"/>
        <w:ind w:firstLine="482" w:firstLineChars="200"/>
        <w:jc w:val="center"/>
        <w:rPr>
          <w:rFonts w:ascii="Times New Roman" w:hAnsi="Times New Roman" w:eastAsia="宋体"/>
          <w:sz w:val="24"/>
          <w:szCs w:val="21"/>
          <w:highlight w:val="none"/>
        </w:rPr>
      </w:pPr>
      <w:bookmarkStart w:id="149" w:name="_Toc184723301"/>
      <w:r>
        <w:rPr>
          <w:rFonts w:ascii="Times New Roman" w:hAnsi="Times New Roman" w:eastAsia="宋体"/>
          <w:sz w:val="24"/>
          <w:szCs w:val="21"/>
          <w:highlight w:val="none"/>
        </w:rPr>
        <w:t>三、响应文件的制作</w:t>
      </w:r>
      <w:bookmarkEnd w:id="143"/>
      <w:bookmarkEnd w:id="149"/>
    </w:p>
    <w:p w14:paraId="19F2A96F">
      <w:pPr>
        <w:pStyle w:val="5"/>
        <w:keepNext w:val="0"/>
        <w:keepLines w:val="0"/>
        <w:adjustRightInd/>
        <w:spacing w:before="0" w:after="0" w:line="480" w:lineRule="exact"/>
        <w:ind w:firstLine="482" w:firstLineChars="200"/>
        <w:rPr>
          <w:rFonts w:hAnsi="宋体"/>
          <w:sz w:val="24"/>
          <w:szCs w:val="21"/>
          <w:highlight w:val="none"/>
        </w:rPr>
      </w:pPr>
      <w:bookmarkStart w:id="150" w:name="_Toc96940314"/>
      <w:bookmarkStart w:id="151" w:name="_Toc96934186"/>
      <w:bookmarkStart w:id="152" w:name="_Toc110953839"/>
      <w:bookmarkStart w:id="153" w:name="_Toc97109974"/>
      <w:bookmarkStart w:id="154" w:name="_Toc97112225"/>
      <w:bookmarkStart w:id="155" w:name="_Toc110953840"/>
      <w:r>
        <w:rPr>
          <w:rFonts w:hAnsi="宋体"/>
          <w:sz w:val="24"/>
          <w:szCs w:val="21"/>
          <w:highlight w:val="none"/>
        </w:rPr>
        <w:t>10.制作要求</w:t>
      </w:r>
      <w:bookmarkEnd w:id="150"/>
      <w:bookmarkEnd w:id="151"/>
      <w:bookmarkEnd w:id="152"/>
      <w:bookmarkEnd w:id="153"/>
      <w:bookmarkEnd w:id="154"/>
    </w:p>
    <w:p w14:paraId="4B15DD0A">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10.1供应商应当仔细阅读</w:t>
      </w:r>
      <w:r>
        <w:rPr>
          <w:rFonts w:hint="eastAsia" w:ascii="宋体" w:hAnsi="宋体" w:eastAsia="宋体"/>
          <w:sz w:val="24"/>
          <w:szCs w:val="21"/>
          <w:highlight w:val="none"/>
        </w:rPr>
        <w:t>遴选</w:t>
      </w:r>
      <w:r>
        <w:rPr>
          <w:rFonts w:ascii="宋体" w:hAnsi="宋体" w:eastAsia="宋体"/>
          <w:sz w:val="24"/>
          <w:szCs w:val="21"/>
          <w:highlight w:val="none"/>
        </w:rPr>
        <w:t>文件的所有内容，按</w:t>
      </w:r>
      <w:r>
        <w:rPr>
          <w:rFonts w:hint="eastAsia" w:ascii="宋体" w:hAnsi="宋体" w:eastAsia="宋体"/>
          <w:sz w:val="24"/>
          <w:szCs w:val="21"/>
          <w:highlight w:val="none"/>
        </w:rPr>
        <w:t>遴选</w:t>
      </w:r>
      <w:r>
        <w:rPr>
          <w:rFonts w:ascii="宋体" w:hAnsi="宋体" w:eastAsia="宋体"/>
          <w:sz w:val="24"/>
          <w:szCs w:val="21"/>
          <w:highlight w:val="none"/>
        </w:rPr>
        <w:t>文件的要求提供响应文件，并保证所提供的全部资料的真实性及对</w:t>
      </w:r>
      <w:r>
        <w:rPr>
          <w:rFonts w:hint="eastAsia" w:ascii="宋体" w:hAnsi="宋体" w:eastAsia="宋体"/>
          <w:sz w:val="24"/>
          <w:szCs w:val="21"/>
          <w:highlight w:val="none"/>
        </w:rPr>
        <w:t>遴选</w:t>
      </w:r>
      <w:r>
        <w:rPr>
          <w:rFonts w:ascii="宋体" w:hAnsi="宋体" w:eastAsia="宋体"/>
          <w:sz w:val="24"/>
          <w:szCs w:val="21"/>
          <w:highlight w:val="none"/>
        </w:rPr>
        <w:t>文件作出实质性响应。</w:t>
      </w:r>
    </w:p>
    <w:p w14:paraId="347DBA8D">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10.2供应商应按</w:t>
      </w:r>
      <w:r>
        <w:rPr>
          <w:rFonts w:hint="eastAsia" w:ascii="宋体" w:hAnsi="宋体" w:eastAsia="宋体"/>
          <w:sz w:val="24"/>
          <w:szCs w:val="21"/>
          <w:highlight w:val="none"/>
        </w:rPr>
        <w:t>遴选</w:t>
      </w:r>
      <w:r>
        <w:rPr>
          <w:rFonts w:ascii="宋体" w:hAnsi="宋体" w:eastAsia="宋体"/>
          <w:sz w:val="24"/>
          <w:szCs w:val="21"/>
          <w:highlight w:val="none"/>
        </w:rPr>
        <w:t>文件中提供的响应文件格式制作响应文件。如有关表格不能满足填报需要，可以对表格格式作出相应调整，但不得更改表格的实质性内容。</w:t>
      </w:r>
    </w:p>
    <w:p w14:paraId="0D1F5E16">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10.3供应商应提供</w:t>
      </w:r>
      <w:r>
        <w:rPr>
          <w:rFonts w:hint="eastAsia" w:ascii="宋体" w:hAnsi="宋体" w:eastAsia="宋体"/>
          <w:b/>
          <w:bCs/>
          <w:color w:val="000000"/>
          <w:sz w:val="24"/>
          <w:szCs w:val="21"/>
          <w:highlight w:val="none"/>
        </w:rPr>
        <w:t>响应文件正本一份、副本四份。</w:t>
      </w:r>
      <w:r>
        <w:rPr>
          <w:rFonts w:ascii="宋体" w:hAnsi="宋体" w:eastAsia="宋体"/>
          <w:sz w:val="24"/>
          <w:szCs w:val="21"/>
          <w:highlight w:val="none"/>
        </w:rPr>
        <w:t>在每一份响应文件上要明确注明“正本”或“副本”字样，一旦正本和副本有差异，以正本为准。</w:t>
      </w:r>
    </w:p>
    <w:p w14:paraId="0387EEB6">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10.4响应文件的正本必须打印，并由供应商的法定代表人或经正式授权对供应商有约束力的委托代理人在响应文件上签字并加盖单位公章。委托代理人必须出具书面形式的授权委托书并附在响应文件中。响应文件的副本可采用正本的复印件。</w:t>
      </w:r>
    </w:p>
    <w:p w14:paraId="007100C9">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10.5除供应商对错处作必要修改外，响应文件中不许有加行、涂改或改写。任何行间插字、涂改和增删，必须由供应商的法定代表人或委托代理人在修改处签字或加盖公章才有效。</w:t>
      </w:r>
    </w:p>
    <w:p w14:paraId="389752D7">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10.6响应文件内的所有文件均须加盖公章。</w:t>
      </w:r>
    </w:p>
    <w:p w14:paraId="44D150CA">
      <w:pPr>
        <w:spacing w:line="480" w:lineRule="exact"/>
        <w:ind w:firstLine="480" w:firstLineChars="200"/>
        <w:outlineLvl w:val="3"/>
        <w:rPr>
          <w:rFonts w:ascii="宋体" w:hAnsi="宋体" w:eastAsia="宋体"/>
          <w:sz w:val="24"/>
          <w:szCs w:val="21"/>
          <w:highlight w:val="none"/>
        </w:rPr>
      </w:pPr>
      <w:r>
        <w:rPr>
          <w:rFonts w:ascii="宋体" w:hAnsi="宋体" w:eastAsia="宋体"/>
          <w:sz w:val="24"/>
          <w:szCs w:val="21"/>
          <w:highlight w:val="none"/>
        </w:rPr>
        <w:t>10.</w:t>
      </w:r>
      <w:r>
        <w:rPr>
          <w:rFonts w:hint="eastAsia" w:ascii="宋体" w:hAnsi="宋体" w:eastAsia="宋体"/>
          <w:sz w:val="24"/>
          <w:szCs w:val="21"/>
          <w:highlight w:val="none"/>
        </w:rPr>
        <w:t>7</w:t>
      </w:r>
      <w:r>
        <w:rPr>
          <w:rFonts w:ascii="宋体" w:hAnsi="宋体" w:eastAsia="宋体"/>
          <w:sz w:val="24"/>
          <w:szCs w:val="21"/>
          <w:highlight w:val="none"/>
        </w:rPr>
        <w:t>电报、电话、传真、电子邮件形式的响应概不接受。</w:t>
      </w:r>
    </w:p>
    <w:bookmarkEnd w:id="155"/>
    <w:p w14:paraId="26AC89A6">
      <w:pPr>
        <w:pStyle w:val="5"/>
        <w:keepNext w:val="0"/>
        <w:keepLines w:val="0"/>
        <w:adjustRightInd/>
        <w:spacing w:before="0" w:after="0" w:line="480" w:lineRule="exact"/>
        <w:ind w:firstLine="482" w:firstLineChars="200"/>
        <w:rPr>
          <w:rFonts w:hAnsi="宋体"/>
          <w:sz w:val="24"/>
          <w:szCs w:val="21"/>
          <w:highlight w:val="none"/>
        </w:rPr>
      </w:pPr>
      <w:bookmarkStart w:id="156" w:name="_Toc96934187"/>
      <w:bookmarkStart w:id="157" w:name="_Toc97109975"/>
      <w:bookmarkStart w:id="158" w:name="_Toc97112226"/>
      <w:bookmarkStart w:id="159" w:name="_Toc96940315"/>
      <w:bookmarkStart w:id="160" w:name="_Toc185150707"/>
      <w:r>
        <w:rPr>
          <w:rFonts w:hAnsi="宋体"/>
          <w:sz w:val="24"/>
          <w:szCs w:val="21"/>
          <w:highlight w:val="none"/>
        </w:rPr>
        <w:t>11.响应文件的内容</w:t>
      </w:r>
      <w:bookmarkEnd w:id="156"/>
      <w:bookmarkEnd w:id="157"/>
      <w:bookmarkEnd w:id="158"/>
      <w:bookmarkEnd w:id="159"/>
    </w:p>
    <w:p w14:paraId="170EC728">
      <w:pPr>
        <w:spacing w:line="480" w:lineRule="exact"/>
        <w:ind w:firstLine="480" w:firstLineChars="200"/>
        <w:outlineLvl w:val="3"/>
        <w:rPr>
          <w:rFonts w:ascii="宋体" w:hAnsi="宋体" w:eastAsia="宋体"/>
          <w:sz w:val="24"/>
          <w:szCs w:val="21"/>
          <w:highlight w:val="none"/>
        </w:rPr>
      </w:pPr>
      <w:r>
        <w:rPr>
          <w:rFonts w:ascii="宋体" w:hAnsi="宋体" w:eastAsia="宋体"/>
          <w:sz w:val="24"/>
          <w:szCs w:val="21"/>
          <w:highlight w:val="none"/>
        </w:rPr>
        <w:t>11.1响应文件由</w:t>
      </w:r>
    </w:p>
    <w:p w14:paraId="04E5230D">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（1）</w:t>
      </w:r>
      <w:r>
        <w:rPr>
          <w:rFonts w:ascii="宋体" w:hAnsi="宋体" w:eastAsia="宋体"/>
          <w:sz w:val="24"/>
          <w:szCs w:val="21"/>
          <w:highlight w:val="none"/>
        </w:rPr>
        <w:t>封面</w:t>
      </w:r>
      <w:r>
        <w:rPr>
          <w:rFonts w:hint="eastAsia" w:ascii="宋体" w:hAnsi="宋体" w:eastAsia="宋体"/>
          <w:sz w:val="24"/>
          <w:szCs w:val="21"/>
          <w:highlight w:val="none"/>
        </w:rPr>
        <w:t>；</w:t>
      </w:r>
    </w:p>
    <w:p w14:paraId="53F689F7">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（2）</w:t>
      </w:r>
      <w:r>
        <w:rPr>
          <w:rFonts w:ascii="宋体" w:hAnsi="宋体" w:eastAsia="宋体"/>
          <w:sz w:val="24"/>
          <w:szCs w:val="21"/>
          <w:highlight w:val="none"/>
        </w:rPr>
        <w:t>目录</w:t>
      </w:r>
      <w:r>
        <w:rPr>
          <w:rFonts w:hint="eastAsia" w:ascii="宋体" w:hAnsi="宋体" w:eastAsia="宋体"/>
          <w:sz w:val="24"/>
          <w:szCs w:val="21"/>
          <w:highlight w:val="none"/>
        </w:rPr>
        <w:t>；</w:t>
      </w:r>
    </w:p>
    <w:p w14:paraId="39869070">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（3）报价表；</w:t>
      </w:r>
    </w:p>
    <w:p w14:paraId="5EEE2306">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（4）遴选响应函；</w:t>
      </w:r>
    </w:p>
    <w:p w14:paraId="664A5CBB">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（5）遴选响应人信息登记表；</w:t>
      </w:r>
    </w:p>
    <w:p w14:paraId="49E55338">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（6）法定代表人授权书（代理人）；</w:t>
      </w:r>
    </w:p>
    <w:p w14:paraId="7A66B755">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（7）法定代表人身份证明文件（法定代表人）；</w:t>
      </w:r>
    </w:p>
    <w:p w14:paraId="4ADD908A">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（8）遴选响应人合法资格及资质证明文件；</w:t>
      </w:r>
    </w:p>
    <w:p w14:paraId="08C5B601">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（9）供货、质量保证书；</w:t>
      </w:r>
    </w:p>
    <w:p w14:paraId="11127C9A">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w:t>
      </w:r>
      <w:r>
        <w:rPr>
          <w:rFonts w:ascii="宋体" w:hAnsi="宋体" w:eastAsia="宋体"/>
          <w:sz w:val="24"/>
          <w:szCs w:val="21"/>
          <w:highlight w:val="none"/>
        </w:rPr>
        <w:t>1</w:t>
      </w:r>
      <w:r>
        <w:rPr>
          <w:rFonts w:hint="eastAsia" w:ascii="宋体" w:hAnsi="宋体" w:eastAsia="宋体"/>
          <w:sz w:val="24"/>
          <w:szCs w:val="21"/>
          <w:highlight w:val="none"/>
        </w:rPr>
        <w:t>0）遴选响应承诺函；</w:t>
      </w:r>
    </w:p>
    <w:p w14:paraId="2F226B4C">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w:t>
      </w:r>
      <w:r>
        <w:rPr>
          <w:rFonts w:ascii="宋体" w:hAnsi="宋体" w:eastAsia="宋体"/>
          <w:sz w:val="24"/>
          <w:szCs w:val="21"/>
          <w:highlight w:val="none"/>
        </w:rPr>
        <w:t>1</w:t>
      </w:r>
      <w:r>
        <w:rPr>
          <w:rFonts w:hint="eastAsia" w:ascii="宋体" w:hAnsi="宋体" w:eastAsia="宋体"/>
          <w:sz w:val="24"/>
          <w:szCs w:val="21"/>
          <w:highlight w:val="none"/>
        </w:rPr>
        <w:t>1）送货上楼进仓承诺书；</w:t>
      </w:r>
    </w:p>
    <w:p w14:paraId="2024D09F">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（12）信誉良好承诺函。</w:t>
      </w:r>
    </w:p>
    <w:p w14:paraId="06018056">
      <w:pPr>
        <w:spacing w:line="480" w:lineRule="exact"/>
        <w:ind w:firstLine="480" w:firstLineChars="200"/>
        <w:outlineLvl w:val="3"/>
        <w:rPr>
          <w:rFonts w:ascii="宋体" w:hAnsi="宋体" w:eastAsia="宋体"/>
          <w:sz w:val="24"/>
          <w:szCs w:val="21"/>
          <w:highlight w:val="none"/>
        </w:rPr>
      </w:pPr>
      <w:r>
        <w:rPr>
          <w:rFonts w:ascii="宋体" w:hAnsi="宋体" w:eastAsia="宋体"/>
          <w:sz w:val="24"/>
          <w:szCs w:val="21"/>
          <w:highlight w:val="none"/>
        </w:rPr>
        <w:t>11.2响应（</w:t>
      </w:r>
      <w:r>
        <w:rPr>
          <w:rFonts w:hint="eastAsia" w:ascii="宋体" w:hAnsi="宋体" w:eastAsia="宋体"/>
          <w:sz w:val="24"/>
          <w:szCs w:val="21"/>
          <w:highlight w:val="none"/>
        </w:rPr>
        <w:t>遴选</w:t>
      </w:r>
      <w:r>
        <w:rPr>
          <w:rFonts w:ascii="宋体" w:hAnsi="宋体" w:eastAsia="宋体"/>
          <w:sz w:val="24"/>
          <w:szCs w:val="21"/>
          <w:highlight w:val="none"/>
        </w:rPr>
        <w:t>）报价</w:t>
      </w:r>
    </w:p>
    <w:p w14:paraId="5485CAA7">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w:t>
      </w:r>
      <w:r>
        <w:rPr>
          <w:rFonts w:hint="eastAsia" w:ascii="宋体" w:hAnsi="宋体" w:eastAsia="宋体"/>
          <w:sz w:val="24"/>
          <w:szCs w:val="21"/>
          <w:highlight w:val="none"/>
        </w:rPr>
        <w:t>遴选报价应为人民币全包价（包含项目所有的成本费、机械费、管理费、利润、风险费、政策性文件规定费用及税费等所有费用）。</w:t>
      </w:r>
    </w:p>
    <w:p w14:paraId="1F9F218B">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（2）供应商应按响应文件的</w:t>
      </w:r>
      <w:r>
        <w:rPr>
          <w:rFonts w:hint="eastAsia" w:ascii="宋体" w:hAnsi="宋体" w:eastAsia="宋体"/>
          <w:sz w:val="24"/>
          <w:szCs w:val="21"/>
          <w:highlight w:val="none"/>
        </w:rPr>
        <w:t>报价</w:t>
      </w:r>
      <w:r>
        <w:rPr>
          <w:rFonts w:ascii="宋体" w:hAnsi="宋体" w:eastAsia="宋体"/>
          <w:sz w:val="24"/>
          <w:szCs w:val="21"/>
          <w:highlight w:val="none"/>
        </w:rPr>
        <w:t>表格式填写响应内容的</w:t>
      </w:r>
      <w:r>
        <w:rPr>
          <w:rFonts w:hint="eastAsia" w:ascii="宋体" w:hAnsi="宋体" w:eastAsia="宋体"/>
          <w:sz w:val="24"/>
          <w:szCs w:val="21"/>
          <w:highlight w:val="none"/>
        </w:rPr>
        <w:t>折扣率</w:t>
      </w:r>
      <w:r>
        <w:rPr>
          <w:rFonts w:ascii="宋体" w:hAnsi="宋体" w:eastAsia="宋体"/>
          <w:sz w:val="24"/>
          <w:szCs w:val="21"/>
          <w:highlight w:val="none"/>
        </w:rPr>
        <w:t>和总价。</w:t>
      </w:r>
    </w:p>
    <w:p w14:paraId="640F66F4">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（3）经</w:t>
      </w:r>
      <w:r>
        <w:rPr>
          <w:rFonts w:hint="eastAsia" w:ascii="宋体" w:hAnsi="宋体" w:eastAsia="宋体"/>
          <w:sz w:val="24"/>
          <w:szCs w:val="21"/>
          <w:highlight w:val="none"/>
        </w:rPr>
        <w:t>遴选</w:t>
      </w:r>
      <w:r>
        <w:rPr>
          <w:rFonts w:ascii="宋体" w:hAnsi="宋体" w:eastAsia="宋体"/>
          <w:sz w:val="24"/>
          <w:szCs w:val="21"/>
          <w:highlight w:val="none"/>
        </w:rPr>
        <w:t>后，供应商所报的</w:t>
      </w:r>
      <w:r>
        <w:rPr>
          <w:rFonts w:hint="eastAsia" w:ascii="宋体" w:hAnsi="宋体" w:eastAsia="宋体"/>
          <w:sz w:val="24"/>
          <w:szCs w:val="21"/>
          <w:highlight w:val="none"/>
        </w:rPr>
        <w:t>遴选</w:t>
      </w:r>
      <w:r>
        <w:rPr>
          <w:rFonts w:ascii="宋体" w:hAnsi="宋体" w:eastAsia="宋体"/>
          <w:sz w:val="24"/>
          <w:szCs w:val="21"/>
          <w:highlight w:val="none"/>
        </w:rPr>
        <w:t>报价在合同执行过程中是固定不变的，不得以任何理由予以变更。</w:t>
      </w:r>
    </w:p>
    <w:p w14:paraId="1BEDB7C1">
      <w:pPr>
        <w:pStyle w:val="5"/>
        <w:keepNext w:val="0"/>
        <w:keepLines w:val="0"/>
        <w:adjustRightInd/>
        <w:spacing w:before="0" w:after="0" w:line="360" w:lineRule="auto"/>
        <w:ind w:firstLine="482" w:firstLineChars="200"/>
        <w:rPr>
          <w:rFonts w:hAnsi="宋体"/>
          <w:sz w:val="24"/>
          <w:szCs w:val="21"/>
          <w:highlight w:val="none"/>
        </w:rPr>
      </w:pPr>
      <w:bookmarkStart w:id="161" w:name="_Toc97112227"/>
      <w:bookmarkStart w:id="162" w:name="_Toc96934188"/>
      <w:bookmarkStart w:id="163" w:name="_Toc96940316"/>
      <w:bookmarkStart w:id="164" w:name="_Toc110953841"/>
      <w:bookmarkStart w:id="165" w:name="_Toc97109976"/>
      <w:r>
        <w:rPr>
          <w:rFonts w:hAnsi="宋体"/>
          <w:sz w:val="24"/>
          <w:szCs w:val="21"/>
          <w:highlight w:val="none"/>
        </w:rPr>
        <w:t>12.响应文件格式</w:t>
      </w:r>
      <w:bookmarkEnd w:id="161"/>
      <w:bookmarkEnd w:id="162"/>
      <w:bookmarkEnd w:id="163"/>
      <w:bookmarkEnd w:id="164"/>
      <w:bookmarkEnd w:id="165"/>
    </w:p>
    <w:p w14:paraId="1CDBDAD8">
      <w:pPr>
        <w:spacing w:line="360" w:lineRule="auto"/>
        <w:ind w:firstLine="480" w:firstLineChars="200"/>
        <w:rPr>
          <w:rFonts w:ascii="宋体" w:hAnsi="宋体" w:eastAsia="宋体"/>
          <w:sz w:val="24"/>
          <w:szCs w:val="21"/>
          <w:highlight w:val="none"/>
        </w:rPr>
      </w:pPr>
      <w:r>
        <w:rPr>
          <w:rFonts w:ascii="宋体" w:hAnsi="宋体" w:eastAsia="宋体"/>
          <w:sz w:val="24"/>
          <w:szCs w:val="21"/>
          <w:highlight w:val="none"/>
        </w:rPr>
        <w:t>12.1供应商应将响应文件装订成册，并填写“响应文件目录”。上述文件及表格为供应商必须提交的文件，各供应商可以根据实际情况增加内容，但不得擅自减少有关内容。响应文件的完整性是评审的内容之一。</w:t>
      </w:r>
    </w:p>
    <w:bookmarkEnd w:id="160"/>
    <w:p w14:paraId="737C125D">
      <w:pPr>
        <w:pStyle w:val="5"/>
        <w:keepNext w:val="0"/>
        <w:keepLines w:val="0"/>
        <w:adjustRightInd/>
        <w:spacing w:before="0" w:after="0" w:line="360" w:lineRule="auto"/>
        <w:ind w:firstLine="482" w:firstLineChars="200"/>
        <w:rPr>
          <w:rFonts w:ascii="Times New Roman"/>
          <w:sz w:val="24"/>
          <w:szCs w:val="21"/>
          <w:highlight w:val="none"/>
        </w:rPr>
      </w:pPr>
      <w:bookmarkStart w:id="166" w:name="_Toc480010709"/>
      <w:bookmarkStart w:id="167" w:name="_Toc467236741"/>
      <w:bookmarkStart w:id="168" w:name="_Toc480020258"/>
      <w:bookmarkStart w:id="169" w:name="_Toc467987824"/>
      <w:bookmarkStart w:id="170" w:name="_Toc480171880"/>
      <w:bookmarkStart w:id="171" w:name="_Toc479991583"/>
      <w:bookmarkStart w:id="172" w:name="_Toc458262615"/>
      <w:bookmarkStart w:id="173" w:name="_Toc480021054"/>
      <w:bookmarkStart w:id="174" w:name="_Toc468606030"/>
      <w:bookmarkStart w:id="175" w:name="_Toc454701382"/>
      <w:bookmarkStart w:id="176" w:name="_Toc110953842"/>
      <w:bookmarkStart w:id="177" w:name="_Toc468157537"/>
      <w:bookmarkStart w:id="178" w:name="_Toc503758471"/>
      <w:r>
        <w:rPr>
          <w:rFonts w:ascii="Times New Roman"/>
          <w:sz w:val="24"/>
          <w:szCs w:val="21"/>
          <w:highlight w:val="none"/>
        </w:rPr>
        <w:t>1</w:t>
      </w:r>
      <w:r>
        <w:rPr>
          <w:rFonts w:hint="eastAsia" w:ascii="Times New Roman"/>
          <w:sz w:val="24"/>
          <w:szCs w:val="21"/>
          <w:highlight w:val="none"/>
        </w:rPr>
        <w:t>3</w:t>
      </w:r>
      <w:r>
        <w:rPr>
          <w:rFonts w:ascii="Times New Roman"/>
          <w:sz w:val="24"/>
          <w:szCs w:val="21"/>
          <w:highlight w:val="none"/>
        </w:rPr>
        <w:t>.响应有效期</w:t>
      </w:r>
      <w:bookmarkEnd w:id="166"/>
      <w:bookmarkEnd w:id="167"/>
      <w:bookmarkEnd w:id="168"/>
      <w:bookmarkEnd w:id="169"/>
      <w:bookmarkEnd w:id="170"/>
      <w:bookmarkEnd w:id="171"/>
      <w:bookmarkEnd w:id="172"/>
      <w:bookmarkEnd w:id="173"/>
      <w:bookmarkEnd w:id="174"/>
      <w:bookmarkEnd w:id="175"/>
      <w:bookmarkEnd w:id="176"/>
      <w:bookmarkEnd w:id="177"/>
      <w:bookmarkEnd w:id="178"/>
    </w:p>
    <w:p w14:paraId="690E2A48">
      <w:pPr>
        <w:spacing w:line="360" w:lineRule="auto"/>
        <w:ind w:firstLine="480" w:firstLineChars="200"/>
        <w:rPr>
          <w:rFonts w:eastAsia="宋体"/>
          <w:sz w:val="24"/>
          <w:szCs w:val="21"/>
          <w:highlight w:val="none"/>
        </w:rPr>
      </w:pPr>
      <w:r>
        <w:rPr>
          <w:rFonts w:eastAsia="宋体"/>
          <w:sz w:val="24"/>
          <w:szCs w:val="21"/>
          <w:highlight w:val="none"/>
        </w:rPr>
        <w:t>1</w:t>
      </w:r>
      <w:r>
        <w:rPr>
          <w:rFonts w:hint="eastAsia" w:eastAsia="宋体"/>
          <w:sz w:val="24"/>
          <w:szCs w:val="21"/>
          <w:highlight w:val="none"/>
        </w:rPr>
        <w:t>3</w:t>
      </w:r>
      <w:r>
        <w:rPr>
          <w:rFonts w:eastAsia="宋体"/>
          <w:sz w:val="24"/>
          <w:szCs w:val="21"/>
          <w:highlight w:val="none"/>
        </w:rPr>
        <w:t>.1响应文件从开启响应文件之日起，响应有效期为30个工作日。</w:t>
      </w:r>
    </w:p>
    <w:p w14:paraId="6C273A04">
      <w:pPr>
        <w:spacing w:line="360" w:lineRule="auto"/>
        <w:ind w:firstLine="480" w:firstLineChars="200"/>
        <w:rPr>
          <w:rFonts w:eastAsia="宋体"/>
          <w:sz w:val="24"/>
          <w:szCs w:val="21"/>
          <w:highlight w:val="none"/>
        </w:rPr>
      </w:pPr>
      <w:r>
        <w:rPr>
          <w:rFonts w:eastAsia="宋体"/>
          <w:sz w:val="24"/>
          <w:szCs w:val="21"/>
          <w:highlight w:val="none"/>
        </w:rPr>
        <w:t>1</w:t>
      </w:r>
      <w:r>
        <w:rPr>
          <w:rFonts w:hint="eastAsia" w:eastAsia="宋体"/>
          <w:sz w:val="24"/>
          <w:szCs w:val="21"/>
          <w:highlight w:val="none"/>
        </w:rPr>
        <w:t>3</w:t>
      </w:r>
      <w:r>
        <w:rPr>
          <w:rFonts w:eastAsia="宋体"/>
          <w:sz w:val="24"/>
          <w:szCs w:val="21"/>
          <w:highlight w:val="none"/>
        </w:rPr>
        <w:t>.2特殊情况下，</w:t>
      </w:r>
      <w:r>
        <w:rPr>
          <w:rFonts w:hint="eastAsia" w:eastAsia="宋体"/>
          <w:sz w:val="24"/>
          <w:szCs w:val="21"/>
          <w:highlight w:val="none"/>
        </w:rPr>
        <w:t>采购人</w:t>
      </w:r>
      <w:r>
        <w:rPr>
          <w:rFonts w:eastAsia="宋体"/>
          <w:sz w:val="24"/>
          <w:szCs w:val="21"/>
          <w:highlight w:val="none"/>
        </w:rPr>
        <w:t>可于响应有效期期满之前，要求供应商同意延长响应有效期，要求与答复均应为书面形式。对于同意该要求的供应商，既不要求也不允许其修改响应文件。</w:t>
      </w:r>
    </w:p>
    <w:p w14:paraId="4D728391">
      <w:pPr>
        <w:spacing w:line="360" w:lineRule="auto"/>
        <w:ind w:firstLine="480" w:firstLineChars="200"/>
        <w:rPr>
          <w:rFonts w:eastAsia="宋体"/>
          <w:sz w:val="24"/>
          <w:szCs w:val="21"/>
          <w:highlight w:val="none"/>
        </w:rPr>
      </w:pPr>
    </w:p>
    <w:p w14:paraId="00FB86F5">
      <w:pPr>
        <w:spacing w:line="360" w:lineRule="auto"/>
        <w:rPr>
          <w:rFonts w:eastAsia="宋体"/>
          <w:sz w:val="24"/>
          <w:szCs w:val="21"/>
          <w:highlight w:val="none"/>
        </w:rPr>
      </w:pPr>
    </w:p>
    <w:bookmarkEnd w:id="144"/>
    <w:bookmarkEnd w:id="145"/>
    <w:bookmarkEnd w:id="146"/>
    <w:bookmarkEnd w:id="147"/>
    <w:bookmarkEnd w:id="148"/>
    <w:p w14:paraId="08A3DC3D">
      <w:pPr>
        <w:pStyle w:val="3"/>
        <w:keepNext w:val="0"/>
        <w:keepLines w:val="0"/>
        <w:adjustRightInd/>
        <w:spacing w:before="0" w:after="0" w:line="360" w:lineRule="auto"/>
        <w:ind w:firstLine="482" w:firstLineChars="200"/>
        <w:jc w:val="center"/>
        <w:rPr>
          <w:rFonts w:ascii="Times New Roman" w:hAnsi="Times New Roman" w:eastAsia="宋体"/>
          <w:sz w:val="24"/>
          <w:szCs w:val="21"/>
          <w:highlight w:val="none"/>
        </w:rPr>
      </w:pPr>
      <w:bookmarkStart w:id="179" w:name="_Toc110953843"/>
      <w:bookmarkStart w:id="180" w:name="_Toc184723302"/>
      <w:bookmarkStart w:id="181" w:name="_Toc466786438"/>
      <w:bookmarkStart w:id="182" w:name="_Toc6968691"/>
      <w:bookmarkStart w:id="183" w:name="_Toc102277760"/>
      <w:bookmarkStart w:id="184" w:name="_Toc507407363"/>
      <w:bookmarkStart w:id="185" w:name="_Toc6882679"/>
      <w:r>
        <w:rPr>
          <w:rFonts w:ascii="Times New Roman" w:hAnsi="Times New Roman" w:eastAsia="宋体"/>
          <w:sz w:val="24"/>
          <w:szCs w:val="21"/>
          <w:highlight w:val="none"/>
        </w:rPr>
        <w:t>四、响应文件的递交</w:t>
      </w:r>
      <w:bookmarkEnd w:id="179"/>
      <w:bookmarkEnd w:id="180"/>
    </w:p>
    <w:p w14:paraId="398B6905">
      <w:pPr>
        <w:pStyle w:val="5"/>
        <w:keepNext w:val="0"/>
        <w:keepLines w:val="0"/>
        <w:adjustRightInd/>
        <w:spacing w:before="0" w:after="0" w:line="480" w:lineRule="exact"/>
        <w:ind w:firstLine="482" w:firstLineChars="200"/>
        <w:rPr>
          <w:rFonts w:hAnsi="宋体"/>
          <w:sz w:val="24"/>
          <w:szCs w:val="21"/>
          <w:highlight w:val="none"/>
        </w:rPr>
      </w:pPr>
      <w:bookmarkStart w:id="186" w:name="_Toc97112231"/>
      <w:bookmarkStart w:id="187" w:name="_Toc97109980"/>
      <w:bookmarkStart w:id="188" w:name="_Toc96934192"/>
      <w:bookmarkStart w:id="189" w:name="_Toc96940320"/>
      <w:bookmarkStart w:id="190" w:name="_Toc110953844"/>
      <w:r>
        <w:rPr>
          <w:rFonts w:hAnsi="宋体"/>
          <w:sz w:val="24"/>
          <w:szCs w:val="21"/>
          <w:highlight w:val="none"/>
        </w:rPr>
        <w:t>1</w:t>
      </w:r>
      <w:r>
        <w:rPr>
          <w:rFonts w:hint="eastAsia" w:hAnsi="宋体"/>
          <w:sz w:val="24"/>
          <w:szCs w:val="21"/>
          <w:highlight w:val="none"/>
        </w:rPr>
        <w:t>4</w:t>
      </w:r>
      <w:r>
        <w:rPr>
          <w:rFonts w:hAnsi="宋体"/>
          <w:sz w:val="24"/>
          <w:szCs w:val="21"/>
          <w:highlight w:val="none"/>
        </w:rPr>
        <w:t>.响应文件的密封和标记</w:t>
      </w:r>
      <w:bookmarkEnd w:id="186"/>
      <w:bookmarkEnd w:id="187"/>
      <w:bookmarkEnd w:id="188"/>
      <w:bookmarkEnd w:id="189"/>
      <w:bookmarkEnd w:id="190"/>
    </w:p>
    <w:p w14:paraId="62886C4D">
      <w:pPr>
        <w:spacing w:line="480" w:lineRule="exact"/>
        <w:ind w:firstLine="482" w:firstLineChars="200"/>
        <w:rPr>
          <w:rFonts w:ascii="宋体" w:hAnsi="宋体" w:eastAsia="宋体"/>
          <w:b/>
          <w:bCs/>
          <w:sz w:val="24"/>
          <w:szCs w:val="21"/>
          <w:highlight w:val="none"/>
        </w:rPr>
      </w:pPr>
      <w:r>
        <w:rPr>
          <w:rFonts w:ascii="宋体" w:hAnsi="宋体" w:eastAsia="宋体"/>
          <w:b/>
          <w:bCs/>
          <w:sz w:val="24"/>
          <w:szCs w:val="21"/>
          <w:highlight w:val="none"/>
        </w:rPr>
        <w:t>1</w:t>
      </w:r>
      <w:r>
        <w:rPr>
          <w:rFonts w:hint="eastAsia" w:ascii="宋体" w:hAnsi="宋体" w:eastAsia="宋体"/>
          <w:b/>
          <w:bCs/>
          <w:sz w:val="24"/>
          <w:szCs w:val="21"/>
          <w:highlight w:val="none"/>
        </w:rPr>
        <w:t>4</w:t>
      </w:r>
      <w:r>
        <w:rPr>
          <w:rFonts w:ascii="宋体" w:hAnsi="宋体" w:eastAsia="宋体"/>
          <w:b/>
          <w:bCs/>
          <w:sz w:val="24"/>
          <w:szCs w:val="21"/>
          <w:highlight w:val="none"/>
        </w:rPr>
        <w:t>.1供应商应将响应文件正本和副本用信封分别密封，并标明供应商的名称、</w:t>
      </w:r>
      <w:r>
        <w:rPr>
          <w:rFonts w:hint="eastAsia" w:ascii="宋体" w:hAnsi="宋体" w:eastAsia="宋体"/>
          <w:b/>
          <w:bCs/>
          <w:sz w:val="24"/>
          <w:szCs w:val="21"/>
          <w:highlight w:val="none"/>
        </w:rPr>
        <w:t>项目名称、</w:t>
      </w:r>
      <w:r>
        <w:rPr>
          <w:rFonts w:ascii="宋体" w:hAnsi="宋体" w:eastAsia="宋体"/>
          <w:b/>
          <w:bCs/>
          <w:sz w:val="24"/>
          <w:szCs w:val="21"/>
          <w:highlight w:val="none"/>
        </w:rPr>
        <w:t>采购编号及</w:t>
      </w:r>
      <w:r>
        <w:rPr>
          <w:rFonts w:hint="eastAsia" w:ascii="宋体" w:hAnsi="宋体" w:eastAsia="宋体"/>
          <w:b/>
          <w:bCs/>
          <w:sz w:val="24"/>
          <w:szCs w:val="21"/>
          <w:highlight w:val="none"/>
        </w:rPr>
        <w:t>“</w:t>
      </w:r>
      <w:r>
        <w:rPr>
          <w:rFonts w:ascii="宋体" w:hAnsi="宋体" w:eastAsia="宋体"/>
          <w:b/>
          <w:bCs/>
          <w:sz w:val="24"/>
          <w:szCs w:val="21"/>
          <w:highlight w:val="none"/>
        </w:rPr>
        <w:t>正本</w:t>
      </w:r>
      <w:r>
        <w:rPr>
          <w:rFonts w:hint="eastAsia" w:ascii="宋体" w:hAnsi="宋体" w:eastAsia="宋体"/>
          <w:b/>
          <w:bCs/>
          <w:sz w:val="24"/>
          <w:szCs w:val="21"/>
          <w:highlight w:val="none"/>
        </w:rPr>
        <w:t>”</w:t>
      </w:r>
      <w:r>
        <w:rPr>
          <w:rFonts w:ascii="宋体" w:hAnsi="宋体" w:eastAsia="宋体"/>
          <w:b/>
          <w:bCs/>
          <w:sz w:val="24"/>
          <w:szCs w:val="21"/>
          <w:highlight w:val="none"/>
        </w:rPr>
        <w:t>或</w:t>
      </w:r>
      <w:r>
        <w:rPr>
          <w:rFonts w:hint="eastAsia" w:ascii="宋体" w:hAnsi="宋体" w:eastAsia="宋体"/>
          <w:b/>
          <w:bCs/>
          <w:sz w:val="24"/>
          <w:szCs w:val="21"/>
          <w:highlight w:val="none"/>
        </w:rPr>
        <w:t>“</w:t>
      </w:r>
      <w:r>
        <w:rPr>
          <w:rFonts w:ascii="宋体" w:hAnsi="宋体" w:eastAsia="宋体"/>
          <w:b/>
          <w:bCs/>
          <w:sz w:val="24"/>
          <w:szCs w:val="21"/>
          <w:highlight w:val="none"/>
        </w:rPr>
        <w:t>副本</w:t>
      </w:r>
      <w:r>
        <w:rPr>
          <w:rFonts w:hint="eastAsia" w:ascii="宋体" w:hAnsi="宋体" w:eastAsia="宋体"/>
          <w:b/>
          <w:bCs/>
          <w:sz w:val="24"/>
          <w:szCs w:val="21"/>
          <w:highlight w:val="none"/>
        </w:rPr>
        <w:t>”</w:t>
      </w:r>
      <w:r>
        <w:rPr>
          <w:rFonts w:ascii="宋体" w:hAnsi="宋体" w:eastAsia="宋体"/>
          <w:b/>
          <w:bCs/>
          <w:sz w:val="24"/>
          <w:szCs w:val="21"/>
          <w:highlight w:val="none"/>
        </w:rPr>
        <w:t>字样。</w:t>
      </w:r>
    </w:p>
    <w:p w14:paraId="445E0E78">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w:t>
      </w:r>
      <w:r>
        <w:rPr>
          <w:rFonts w:hint="eastAsia" w:ascii="宋体" w:hAnsi="宋体" w:eastAsia="宋体"/>
          <w:sz w:val="24"/>
          <w:szCs w:val="21"/>
          <w:highlight w:val="none"/>
        </w:rPr>
        <w:t>4</w:t>
      </w:r>
      <w:r>
        <w:rPr>
          <w:rFonts w:ascii="宋体" w:hAnsi="宋体" w:eastAsia="宋体"/>
          <w:sz w:val="24"/>
          <w:szCs w:val="21"/>
          <w:highlight w:val="none"/>
        </w:rPr>
        <w:t>.</w:t>
      </w:r>
      <w:r>
        <w:rPr>
          <w:rFonts w:hint="eastAsia" w:ascii="宋体" w:hAnsi="宋体" w:eastAsia="宋体"/>
          <w:sz w:val="24"/>
          <w:szCs w:val="21"/>
          <w:highlight w:val="none"/>
        </w:rPr>
        <w:t>2</w:t>
      </w:r>
      <w:r>
        <w:rPr>
          <w:rFonts w:ascii="宋体" w:hAnsi="宋体" w:eastAsia="宋体"/>
          <w:sz w:val="24"/>
          <w:szCs w:val="21"/>
          <w:highlight w:val="none"/>
        </w:rPr>
        <w:t>每一份响应文件的密封袋两头封口上均需贴封条</w:t>
      </w:r>
      <w:bookmarkStart w:id="191" w:name="_Hlk65400439"/>
      <w:r>
        <w:rPr>
          <w:rFonts w:ascii="宋体" w:hAnsi="宋体" w:eastAsia="宋体"/>
          <w:sz w:val="24"/>
          <w:szCs w:val="21"/>
          <w:highlight w:val="none"/>
        </w:rPr>
        <w:t>，封条上应注明“</w:t>
      </w:r>
      <w:r>
        <w:rPr>
          <w:rFonts w:ascii="宋体" w:hAnsi="宋体" w:eastAsia="宋体"/>
          <w:b/>
          <w:sz w:val="24"/>
          <w:szCs w:val="21"/>
          <w:highlight w:val="none"/>
        </w:rPr>
        <w:t>于202</w:t>
      </w:r>
      <w:r>
        <w:rPr>
          <w:rFonts w:hint="eastAsia" w:ascii="宋体" w:hAnsi="宋体" w:eastAsia="宋体"/>
          <w:b/>
          <w:sz w:val="24"/>
          <w:szCs w:val="21"/>
          <w:highlight w:val="none"/>
        </w:rPr>
        <w:t>5</w:t>
      </w:r>
      <w:r>
        <w:rPr>
          <w:rFonts w:ascii="宋体" w:hAnsi="宋体" w:eastAsia="宋体"/>
          <w:b/>
          <w:sz w:val="24"/>
          <w:szCs w:val="21"/>
          <w:highlight w:val="none"/>
        </w:rPr>
        <w:t>年</w:t>
      </w:r>
      <w:r>
        <w:rPr>
          <w:rFonts w:hint="eastAsia" w:ascii="宋体" w:hAnsi="宋体" w:eastAsia="宋体"/>
          <w:b/>
          <w:sz w:val="24"/>
          <w:szCs w:val="21"/>
          <w:highlight w:val="none"/>
          <w:lang w:val="en-US" w:eastAsia="zh-CN"/>
        </w:rPr>
        <w:t>5</w:t>
      </w:r>
      <w:r>
        <w:rPr>
          <w:rFonts w:ascii="宋体" w:hAnsi="宋体" w:eastAsia="宋体"/>
          <w:b/>
          <w:sz w:val="24"/>
          <w:szCs w:val="21"/>
          <w:highlight w:val="none"/>
        </w:rPr>
        <w:t>月</w:t>
      </w:r>
      <w:r>
        <w:rPr>
          <w:rFonts w:hint="eastAsia" w:ascii="宋体" w:hAnsi="宋体" w:eastAsia="宋体"/>
          <w:b/>
          <w:sz w:val="24"/>
          <w:szCs w:val="21"/>
          <w:highlight w:val="none"/>
          <w:lang w:val="en-US" w:eastAsia="zh-CN"/>
        </w:rPr>
        <w:t>8</w:t>
      </w:r>
      <w:r>
        <w:rPr>
          <w:rFonts w:ascii="宋体" w:hAnsi="宋体" w:eastAsia="宋体"/>
          <w:b/>
          <w:sz w:val="24"/>
          <w:szCs w:val="21"/>
          <w:highlight w:val="none"/>
        </w:rPr>
        <w:t>日</w:t>
      </w:r>
      <w:r>
        <w:rPr>
          <w:rFonts w:hint="eastAsia" w:ascii="宋体" w:hAnsi="宋体" w:eastAsia="宋体"/>
          <w:b/>
          <w:sz w:val="24"/>
          <w:szCs w:val="21"/>
          <w:highlight w:val="none"/>
        </w:rPr>
        <w:t>15</w:t>
      </w:r>
      <w:r>
        <w:rPr>
          <w:rFonts w:ascii="宋体" w:hAnsi="宋体" w:eastAsia="宋体"/>
          <w:b/>
          <w:sz w:val="24"/>
          <w:szCs w:val="21"/>
          <w:highlight w:val="none"/>
        </w:rPr>
        <w:t>时</w:t>
      </w:r>
      <w:r>
        <w:rPr>
          <w:rFonts w:hint="eastAsia" w:ascii="宋体" w:hAnsi="宋体" w:eastAsia="宋体"/>
          <w:b/>
          <w:sz w:val="24"/>
          <w:szCs w:val="21"/>
          <w:highlight w:val="none"/>
        </w:rPr>
        <w:t>30分</w:t>
      </w:r>
      <w:r>
        <w:rPr>
          <w:rFonts w:ascii="宋体" w:hAnsi="宋体" w:eastAsia="宋体"/>
          <w:b/>
          <w:sz w:val="24"/>
          <w:szCs w:val="21"/>
          <w:highlight w:val="none"/>
        </w:rPr>
        <w:t>之前不准启封”</w:t>
      </w:r>
      <w:r>
        <w:rPr>
          <w:rFonts w:ascii="宋体" w:hAnsi="宋体" w:eastAsia="宋体"/>
          <w:sz w:val="24"/>
          <w:szCs w:val="21"/>
          <w:highlight w:val="none"/>
        </w:rPr>
        <w:t>的字样，并加盖骑缝章（公章）。</w:t>
      </w:r>
      <w:bookmarkEnd w:id="191"/>
    </w:p>
    <w:p w14:paraId="6D98C6BF">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w:t>
      </w:r>
      <w:r>
        <w:rPr>
          <w:rFonts w:hint="eastAsia" w:ascii="宋体" w:hAnsi="宋体" w:eastAsia="宋体"/>
          <w:sz w:val="24"/>
          <w:szCs w:val="21"/>
          <w:highlight w:val="none"/>
        </w:rPr>
        <w:t>4</w:t>
      </w:r>
      <w:r>
        <w:rPr>
          <w:rFonts w:ascii="宋体" w:hAnsi="宋体" w:eastAsia="宋体"/>
          <w:sz w:val="24"/>
          <w:szCs w:val="21"/>
          <w:highlight w:val="none"/>
        </w:rPr>
        <w:t>.</w:t>
      </w:r>
      <w:r>
        <w:rPr>
          <w:rFonts w:hint="eastAsia" w:ascii="宋体" w:hAnsi="宋体" w:eastAsia="宋体"/>
          <w:sz w:val="24"/>
          <w:szCs w:val="21"/>
          <w:highlight w:val="none"/>
        </w:rPr>
        <w:t>3</w:t>
      </w:r>
      <w:r>
        <w:rPr>
          <w:rFonts w:ascii="宋体" w:hAnsi="宋体" w:eastAsia="宋体"/>
          <w:sz w:val="24"/>
          <w:szCs w:val="21"/>
          <w:highlight w:val="none"/>
        </w:rPr>
        <w:t>供应商应按上述规定进行密封和标记后，将响应文件按照</w:t>
      </w:r>
      <w:r>
        <w:rPr>
          <w:rFonts w:hint="eastAsia" w:ascii="宋体" w:hAnsi="宋体" w:eastAsia="宋体"/>
          <w:sz w:val="24"/>
          <w:szCs w:val="21"/>
          <w:highlight w:val="none"/>
        </w:rPr>
        <w:t>遴选</w:t>
      </w:r>
      <w:r>
        <w:rPr>
          <w:rFonts w:ascii="宋体" w:hAnsi="宋体" w:eastAsia="宋体"/>
          <w:sz w:val="24"/>
          <w:szCs w:val="21"/>
          <w:highlight w:val="none"/>
        </w:rPr>
        <w:t>文件中规定的时间和地址由专人送至</w:t>
      </w:r>
      <w:r>
        <w:rPr>
          <w:rFonts w:hint="eastAsia" w:ascii="宋体" w:hAnsi="宋体" w:eastAsia="宋体"/>
          <w:sz w:val="24"/>
          <w:szCs w:val="21"/>
          <w:highlight w:val="none"/>
        </w:rPr>
        <w:t>开平市中医院</w:t>
      </w:r>
      <w:r>
        <w:rPr>
          <w:rFonts w:ascii="宋体" w:hAnsi="宋体" w:eastAsia="宋体"/>
          <w:sz w:val="24"/>
          <w:szCs w:val="21"/>
          <w:highlight w:val="none"/>
        </w:rPr>
        <w:t>。</w:t>
      </w:r>
    </w:p>
    <w:p w14:paraId="6B73E3DB">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w:t>
      </w:r>
      <w:r>
        <w:rPr>
          <w:rFonts w:hint="eastAsia" w:ascii="宋体" w:hAnsi="宋体" w:eastAsia="宋体"/>
          <w:sz w:val="24"/>
          <w:szCs w:val="21"/>
          <w:highlight w:val="none"/>
        </w:rPr>
        <w:t>4</w:t>
      </w:r>
      <w:r>
        <w:rPr>
          <w:rFonts w:ascii="宋体" w:hAnsi="宋体" w:eastAsia="宋体"/>
          <w:sz w:val="24"/>
          <w:szCs w:val="21"/>
          <w:highlight w:val="none"/>
        </w:rPr>
        <w:t>.</w:t>
      </w:r>
      <w:r>
        <w:rPr>
          <w:rFonts w:hint="eastAsia" w:ascii="宋体" w:hAnsi="宋体" w:eastAsia="宋体"/>
          <w:sz w:val="24"/>
          <w:szCs w:val="21"/>
          <w:highlight w:val="none"/>
        </w:rPr>
        <w:t>4</w:t>
      </w:r>
      <w:r>
        <w:rPr>
          <w:rFonts w:ascii="宋体" w:hAnsi="宋体" w:eastAsia="宋体"/>
          <w:sz w:val="24"/>
          <w:szCs w:val="21"/>
          <w:highlight w:val="none"/>
        </w:rPr>
        <w:t>未按上述规定进行密封、标记和递交的，</w:t>
      </w:r>
      <w:r>
        <w:rPr>
          <w:rFonts w:hint="eastAsia" w:ascii="宋体" w:hAnsi="宋体" w:eastAsia="宋体"/>
          <w:sz w:val="24"/>
          <w:szCs w:val="21"/>
          <w:highlight w:val="none"/>
        </w:rPr>
        <w:t>采购人</w:t>
      </w:r>
      <w:r>
        <w:rPr>
          <w:rFonts w:ascii="宋体" w:hAnsi="宋体" w:eastAsia="宋体"/>
          <w:sz w:val="24"/>
          <w:szCs w:val="21"/>
          <w:highlight w:val="none"/>
        </w:rPr>
        <w:t>对响应文件的不依时间递交、误投、破损、封装不合格或提前拆封不负责。</w:t>
      </w:r>
    </w:p>
    <w:p w14:paraId="74C0D769">
      <w:pPr>
        <w:pStyle w:val="5"/>
        <w:keepNext w:val="0"/>
        <w:keepLines w:val="0"/>
        <w:adjustRightInd/>
        <w:spacing w:before="0" w:after="0" w:line="480" w:lineRule="exact"/>
        <w:ind w:firstLine="482" w:firstLineChars="200"/>
        <w:rPr>
          <w:rFonts w:hAnsi="宋体"/>
          <w:sz w:val="24"/>
          <w:szCs w:val="21"/>
          <w:highlight w:val="none"/>
        </w:rPr>
      </w:pPr>
      <w:bookmarkStart w:id="192" w:name="_Toc96934193"/>
      <w:bookmarkStart w:id="193" w:name="_Toc97109981"/>
      <w:bookmarkStart w:id="194" w:name="_Toc96940321"/>
      <w:bookmarkStart w:id="195" w:name="_Toc110953845"/>
      <w:bookmarkStart w:id="196" w:name="_Toc97112232"/>
      <w:r>
        <w:rPr>
          <w:rFonts w:hAnsi="宋体"/>
          <w:sz w:val="24"/>
          <w:szCs w:val="21"/>
          <w:highlight w:val="none"/>
        </w:rPr>
        <w:t>1</w:t>
      </w:r>
      <w:r>
        <w:rPr>
          <w:rFonts w:hint="eastAsia" w:hAnsi="宋体"/>
          <w:sz w:val="24"/>
          <w:szCs w:val="21"/>
          <w:highlight w:val="none"/>
        </w:rPr>
        <w:t>5</w:t>
      </w:r>
      <w:r>
        <w:rPr>
          <w:rFonts w:hAnsi="宋体"/>
          <w:sz w:val="24"/>
          <w:szCs w:val="21"/>
          <w:highlight w:val="none"/>
        </w:rPr>
        <w:t>.递交响应文件的时间、地点以及截止时间</w:t>
      </w:r>
      <w:bookmarkEnd w:id="192"/>
      <w:bookmarkEnd w:id="193"/>
      <w:bookmarkEnd w:id="194"/>
      <w:bookmarkEnd w:id="195"/>
      <w:bookmarkEnd w:id="196"/>
    </w:p>
    <w:p w14:paraId="75C0629F">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w:t>
      </w:r>
      <w:r>
        <w:rPr>
          <w:rFonts w:hint="eastAsia" w:ascii="宋体" w:hAnsi="宋体" w:eastAsia="宋体"/>
          <w:sz w:val="24"/>
          <w:szCs w:val="21"/>
          <w:highlight w:val="none"/>
        </w:rPr>
        <w:t>5</w:t>
      </w:r>
      <w:r>
        <w:rPr>
          <w:rFonts w:ascii="宋体" w:hAnsi="宋体" w:eastAsia="宋体"/>
          <w:sz w:val="24"/>
          <w:szCs w:val="21"/>
          <w:highlight w:val="none"/>
        </w:rPr>
        <w:t>.1 响应文件递交地点：</w:t>
      </w:r>
      <w:r>
        <w:rPr>
          <w:rFonts w:hint="eastAsia" w:eastAsia="宋体"/>
          <w:sz w:val="24"/>
          <w:szCs w:val="22"/>
          <w:highlight w:val="none"/>
        </w:rPr>
        <w:t>开平市中医院2号楼8楼817室（地址：</w:t>
      </w:r>
      <w:r>
        <w:rPr>
          <w:rFonts w:eastAsia="宋体"/>
          <w:sz w:val="24"/>
          <w:szCs w:val="22"/>
          <w:highlight w:val="none"/>
        </w:rPr>
        <w:t>广东省开平市三埠街道新昌西桥二马路</w:t>
      </w:r>
      <w:r>
        <w:rPr>
          <w:rFonts w:hint="eastAsia" w:eastAsia="宋体"/>
          <w:sz w:val="24"/>
          <w:szCs w:val="22"/>
          <w:highlight w:val="none"/>
        </w:rPr>
        <w:t>6号</w:t>
      </w:r>
      <w:r>
        <w:rPr>
          <w:rFonts w:hint="eastAsia" w:ascii="宋体" w:hAnsi="宋体" w:eastAsia="宋体"/>
          <w:sz w:val="24"/>
          <w:szCs w:val="22"/>
          <w:highlight w:val="none"/>
        </w:rPr>
        <w:t>）</w:t>
      </w:r>
    </w:p>
    <w:p w14:paraId="697FFF06">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w:t>
      </w:r>
      <w:r>
        <w:rPr>
          <w:rFonts w:hint="eastAsia" w:ascii="宋体" w:hAnsi="宋体" w:eastAsia="宋体"/>
          <w:sz w:val="24"/>
          <w:szCs w:val="21"/>
          <w:highlight w:val="none"/>
        </w:rPr>
        <w:t>5</w:t>
      </w:r>
      <w:r>
        <w:rPr>
          <w:rFonts w:ascii="宋体" w:hAnsi="宋体" w:eastAsia="宋体"/>
          <w:sz w:val="24"/>
          <w:szCs w:val="21"/>
          <w:highlight w:val="none"/>
        </w:rPr>
        <w:t>.2</w:t>
      </w:r>
      <w:r>
        <w:rPr>
          <w:rFonts w:hint="eastAsia" w:ascii="宋体" w:hAnsi="宋体" w:eastAsia="宋体"/>
          <w:sz w:val="24"/>
          <w:szCs w:val="21"/>
          <w:highlight w:val="none"/>
        </w:rPr>
        <w:t>递交响应文件时间</w:t>
      </w:r>
      <w:r>
        <w:rPr>
          <w:rFonts w:ascii="宋体" w:hAnsi="宋体" w:eastAsia="宋体"/>
          <w:sz w:val="24"/>
          <w:szCs w:val="21"/>
          <w:highlight w:val="none"/>
        </w:rPr>
        <w:t>：</w:t>
      </w:r>
      <w:r>
        <w:rPr>
          <w:rFonts w:hint="eastAsia" w:ascii="宋体" w:hAnsi="宋体" w:eastAsia="宋体"/>
          <w:sz w:val="24"/>
          <w:szCs w:val="21"/>
          <w:highlight w:val="none"/>
        </w:rPr>
        <w:t>2025年</w:t>
      </w:r>
      <w:r>
        <w:rPr>
          <w:rFonts w:hint="eastAsia" w:ascii="宋体" w:hAnsi="宋体" w:eastAsia="宋体"/>
          <w:sz w:val="24"/>
          <w:szCs w:val="21"/>
          <w:highlight w:val="none"/>
          <w:lang w:val="en-US" w:eastAsia="zh-CN"/>
        </w:rPr>
        <w:t>5</w:t>
      </w:r>
      <w:r>
        <w:rPr>
          <w:rFonts w:ascii="宋体" w:hAnsi="宋体" w:eastAsia="宋体"/>
          <w:sz w:val="24"/>
          <w:szCs w:val="21"/>
          <w:highlight w:val="none"/>
        </w:rPr>
        <w:t>月</w:t>
      </w:r>
      <w:r>
        <w:rPr>
          <w:rFonts w:hint="eastAsia" w:ascii="宋体" w:hAnsi="宋体" w:eastAsia="宋体"/>
          <w:sz w:val="24"/>
          <w:szCs w:val="21"/>
          <w:highlight w:val="none"/>
          <w:lang w:val="en-US" w:eastAsia="zh-CN"/>
        </w:rPr>
        <w:t>8</w:t>
      </w:r>
      <w:r>
        <w:rPr>
          <w:rFonts w:ascii="宋体" w:hAnsi="宋体" w:eastAsia="宋体"/>
          <w:sz w:val="24"/>
          <w:szCs w:val="21"/>
          <w:highlight w:val="none"/>
        </w:rPr>
        <w:t>日</w:t>
      </w:r>
      <w:r>
        <w:rPr>
          <w:rFonts w:hint="eastAsia" w:ascii="宋体" w:hAnsi="宋体" w:eastAsia="宋体"/>
          <w:sz w:val="24"/>
          <w:szCs w:val="21"/>
          <w:highlight w:val="none"/>
        </w:rPr>
        <w:t>14：30-15：30（北京时间）。提前、逾期递交或不符合规定的响应文件恕不接受。</w:t>
      </w:r>
    </w:p>
    <w:p w14:paraId="55BA6C7D">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w:t>
      </w:r>
      <w:r>
        <w:rPr>
          <w:rFonts w:hint="eastAsia" w:ascii="宋体" w:hAnsi="宋体" w:eastAsia="宋体"/>
          <w:sz w:val="24"/>
          <w:szCs w:val="21"/>
          <w:highlight w:val="none"/>
        </w:rPr>
        <w:t>5</w:t>
      </w:r>
      <w:r>
        <w:rPr>
          <w:rFonts w:ascii="宋体" w:hAnsi="宋体" w:eastAsia="宋体"/>
          <w:sz w:val="24"/>
          <w:szCs w:val="21"/>
          <w:highlight w:val="none"/>
        </w:rPr>
        <w:t>.3</w:t>
      </w:r>
      <w:r>
        <w:rPr>
          <w:rFonts w:hint="eastAsia" w:ascii="宋体" w:hAnsi="宋体" w:eastAsia="宋体"/>
          <w:sz w:val="24"/>
          <w:szCs w:val="21"/>
          <w:highlight w:val="none"/>
        </w:rPr>
        <w:t>采购人</w:t>
      </w:r>
      <w:r>
        <w:rPr>
          <w:rFonts w:ascii="宋体" w:hAnsi="宋体" w:eastAsia="宋体"/>
          <w:sz w:val="24"/>
          <w:szCs w:val="21"/>
          <w:highlight w:val="none"/>
        </w:rPr>
        <w:t>拒绝接受以下文件：</w:t>
      </w:r>
    </w:p>
    <w:p w14:paraId="4356EEC3">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（1）提前递交的文件</w:t>
      </w:r>
      <w:r>
        <w:rPr>
          <w:rFonts w:hint="eastAsia" w:ascii="宋体" w:hAnsi="宋体" w:eastAsia="宋体"/>
          <w:sz w:val="24"/>
          <w:szCs w:val="21"/>
          <w:highlight w:val="none"/>
        </w:rPr>
        <w:t>。</w:t>
      </w:r>
    </w:p>
    <w:p w14:paraId="28447224">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（2）在响应截止时间后递交的响应文件</w:t>
      </w:r>
      <w:r>
        <w:rPr>
          <w:rFonts w:hint="eastAsia" w:ascii="宋体" w:hAnsi="宋体" w:eastAsia="宋体"/>
          <w:sz w:val="24"/>
          <w:szCs w:val="21"/>
          <w:highlight w:val="none"/>
        </w:rPr>
        <w:t>。</w:t>
      </w:r>
    </w:p>
    <w:p w14:paraId="76B84796">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（3）未按规定包装和密封的响应文件。</w:t>
      </w:r>
    </w:p>
    <w:p w14:paraId="1BDA55AC">
      <w:pPr>
        <w:spacing w:line="480" w:lineRule="exact"/>
        <w:ind w:firstLine="480" w:firstLineChars="200"/>
        <w:outlineLvl w:val="3"/>
        <w:rPr>
          <w:rFonts w:ascii="宋体" w:hAnsi="宋体" w:eastAsia="宋体"/>
          <w:b/>
          <w:bCs/>
          <w:sz w:val="24"/>
          <w:szCs w:val="21"/>
          <w:highlight w:val="none"/>
          <w:lang w:val="zh-CN"/>
        </w:rPr>
      </w:pPr>
      <w:r>
        <w:rPr>
          <w:rFonts w:ascii="宋体" w:hAnsi="宋体" w:eastAsia="宋体"/>
          <w:sz w:val="24"/>
          <w:szCs w:val="21"/>
          <w:highlight w:val="none"/>
        </w:rPr>
        <w:t>1</w:t>
      </w:r>
      <w:r>
        <w:rPr>
          <w:rFonts w:hint="eastAsia" w:ascii="宋体" w:hAnsi="宋体" w:eastAsia="宋体"/>
          <w:sz w:val="24"/>
          <w:szCs w:val="21"/>
          <w:highlight w:val="none"/>
        </w:rPr>
        <w:t>5</w:t>
      </w:r>
      <w:r>
        <w:rPr>
          <w:rFonts w:ascii="宋体" w:hAnsi="宋体" w:eastAsia="宋体"/>
          <w:sz w:val="24"/>
          <w:szCs w:val="21"/>
          <w:highlight w:val="none"/>
        </w:rPr>
        <w:t>.</w:t>
      </w:r>
      <w:r>
        <w:rPr>
          <w:rFonts w:hint="eastAsia" w:ascii="宋体" w:hAnsi="宋体" w:eastAsia="宋体"/>
          <w:sz w:val="24"/>
          <w:szCs w:val="21"/>
          <w:highlight w:val="none"/>
        </w:rPr>
        <w:t>4</w:t>
      </w:r>
      <w:r>
        <w:rPr>
          <w:rFonts w:ascii="宋体" w:hAnsi="宋体" w:eastAsia="宋体"/>
          <w:sz w:val="24"/>
          <w:szCs w:val="21"/>
          <w:highlight w:val="none"/>
        </w:rPr>
        <w:t>响应文件的修改与撤回</w:t>
      </w:r>
    </w:p>
    <w:p w14:paraId="5D5B2008">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（1）供应商在递交响应文件后到响应截止时间之前，可以补充、修改或撤回其响应文件，但供应商必须以书面形式通知</w:t>
      </w:r>
      <w:r>
        <w:rPr>
          <w:rFonts w:hint="eastAsia" w:ascii="宋体" w:hAnsi="宋体" w:eastAsia="宋体"/>
          <w:sz w:val="24"/>
          <w:szCs w:val="21"/>
          <w:highlight w:val="none"/>
        </w:rPr>
        <w:t>采购人</w:t>
      </w:r>
      <w:r>
        <w:rPr>
          <w:rFonts w:ascii="宋体" w:hAnsi="宋体" w:eastAsia="宋体"/>
          <w:sz w:val="24"/>
          <w:szCs w:val="21"/>
          <w:highlight w:val="none"/>
        </w:rPr>
        <w:t>。补充、修改的内容与响应文件不一致的，以补偿、修改的内容为准。</w:t>
      </w:r>
    </w:p>
    <w:p w14:paraId="0A68BF8C">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（2）除法律法规允许的情况外，在响应截止时间之后至响应有效期之间的这段时间内，供应商不得对其响应文件做任何修改，亦不得撤回其响应，否则</w:t>
      </w:r>
      <w:r>
        <w:rPr>
          <w:rFonts w:hint="eastAsia" w:ascii="宋体" w:hAnsi="宋体" w:eastAsia="宋体"/>
          <w:sz w:val="24"/>
          <w:szCs w:val="21"/>
          <w:highlight w:val="none"/>
        </w:rPr>
        <w:t>取消投标资格</w:t>
      </w:r>
      <w:r>
        <w:rPr>
          <w:rFonts w:ascii="宋体" w:hAnsi="宋体" w:eastAsia="宋体"/>
          <w:sz w:val="24"/>
          <w:szCs w:val="21"/>
          <w:highlight w:val="none"/>
        </w:rPr>
        <w:t>。</w:t>
      </w:r>
    </w:p>
    <w:bookmarkEnd w:id="104"/>
    <w:bookmarkEnd w:id="105"/>
    <w:bookmarkEnd w:id="106"/>
    <w:bookmarkEnd w:id="107"/>
    <w:bookmarkEnd w:id="108"/>
    <w:bookmarkEnd w:id="109"/>
    <w:bookmarkEnd w:id="110"/>
    <w:bookmarkEnd w:id="111"/>
    <w:bookmarkEnd w:id="112"/>
    <w:bookmarkEnd w:id="113"/>
    <w:bookmarkEnd w:id="114"/>
    <w:bookmarkEnd w:id="181"/>
    <w:bookmarkEnd w:id="182"/>
    <w:bookmarkEnd w:id="183"/>
    <w:bookmarkEnd w:id="184"/>
    <w:bookmarkEnd w:id="185"/>
    <w:p w14:paraId="0E4074BB">
      <w:pPr>
        <w:rPr>
          <w:sz w:val="36"/>
          <w:szCs w:val="28"/>
          <w:highlight w:val="none"/>
        </w:rPr>
      </w:pPr>
      <w:bookmarkStart w:id="197" w:name="_Toc56353011"/>
      <w:bookmarkStart w:id="198" w:name="_Toc52021538"/>
      <w:bookmarkStart w:id="199" w:name="_Toc52027926"/>
      <w:bookmarkStart w:id="200" w:name="_Toc51939456"/>
      <w:bookmarkStart w:id="201" w:name="_Toc51756491"/>
      <w:bookmarkStart w:id="202" w:name="_Toc467050236"/>
      <w:bookmarkStart w:id="203" w:name="_Toc457975339"/>
      <w:bookmarkStart w:id="204" w:name="_Toc467236766"/>
      <w:bookmarkStart w:id="205" w:name="_Toc467049706"/>
      <w:bookmarkStart w:id="206" w:name="_Toc486671570"/>
      <w:bookmarkStart w:id="207" w:name="_Toc476976198"/>
      <w:r>
        <w:rPr>
          <w:sz w:val="36"/>
          <w:szCs w:val="28"/>
          <w:highlight w:val="none"/>
        </w:rPr>
        <w:br w:type="page"/>
      </w:r>
    </w:p>
    <w:p w14:paraId="7EEE497E">
      <w:pPr>
        <w:pStyle w:val="2"/>
        <w:keepNext w:val="0"/>
        <w:keepLines w:val="0"/>
        <w:spacing w:before="0" w:after="0" w:line="360" w:lineRule="auto"/>
        <w:jc w:val="center"/>
        <w:rPr>
          <w:rFonts w:ascii="Times New Roman"/>
          <w:sz w:val="36"/>
          <w:szCs w:val="28"/>
          <w:highlight w:val="none"/>
        </w:rPr>
      </w:pPr>
      <w:bookmarkStart w:id="208" w:name="_Toc184723303"/>
      <w:r>
        <w:rPr>
          <w:rFonts w:ascii="Times New Roman"/>
          <w:sz w:val="36"/>
          <w:szCs w:val="28"/>
          <w:highlight w:val="none"/>
        </w:rPr>
        <w:t>第四部分</w:t>
      </w:r>
      <w:r>
        <w:rPr>
          <w:rFonts w:hint="eastAsia" w:ascii="Times New Roman"/>
          <w:sz w:val="36"/>
          <w:szCs w:val="28"/>
          <w:highlight w:val="none"/>
        </w:rPr>
        <w:t xml:space="preserve"> 评审办法</w:t>
      </w:r>
      <w:bookmarkEnd w:id="208"/>
    </w:p>
    <w:p w14:paraId="14747B18">
      <w:pPr>
        <w:pStyle w:val="17"/>
        <w:jc w:val="left"/>
        <w:outlineLvl w:val="1"/>
        <w:rPr>
          <w:rFonts w:ascii="Times New Roman" w:eastAsia="宋体"/>
          <w:b/>
          <w:sz w:val="24"/>
          <w:szCs w:val="21"/>
          <w:highlight w:val="none"/>
        </w:rPr>
      </w:pPr>
      <w:bookmarkStart w:id="209" w:name="_Toc184723304"/>
      <w:r>
        <w:rPr>
          <w:rFonts w:hint="eastAsia" w:ascii="Times New Roman" w:eastAsia="宋体"/>
          <w:b/>
          <w:sz w:val="24"/>
          <w:szCs w:val="21"/>
          <w:highlight w:val="none"/>
        </w:rPr>
        <w:t>一、资格性审查、符合性审查。</w:t>
      </w:r>
      <w:bookmarkEnd w:id="209"/>
    </w:p>
    <w:tbl>
      <w:tblPr>
        <w:tblStyle w:val="42"/>
        <w:tblW w:w="885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5"/>
        <w:gridCol w:w="6110"/>
        <w:gridCol w:w="1275"/>
      </w:tblGrid>
      <w:tr w14:paraId="74646F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465" w:type="dxa"/>
            <w:tcBorders>
              <w:top w:val="double" w:color="auto" w:sz="4" w:space="0"/>
              <w:left w:val="double" w:color="auto" w:sz="4" w:space="0"/>
              <w:bottom w:val="single" w:color="auto" w:sz="4" w:space="0"/>
              <w:right w:val="single" w:color="auto" w:sz="4" w:space="0"/>
            </w:tcBorders>
            <w:vAlign w:val="center"/>
          </w:tcPr>
          <w:p w14:paraId="65D2F9EB">
            <w:pPr>
              <w:pStyle w:val="91"/>
              <w:spacing w:beforeLines="50" w:afterLines="50" w:line="360" w:lineRule="auto"/>
              <w:ind w:firstLine="0" w:firstLineChars="0"/>
              <w:jc w:val="center"/>
              <w:rPr>
                <w:rFonts w:ascii="Times New Roman" w:hAnsi="Times New Roman"/>
                <w:b/>
                <w:bCs/>
                <w:sz w:val="24"/>
                <w:highlight w:val="none"/>
              </w:rPr>
            </w:pPr>
            <w:r>
              <w:rPr>
                <w:rFonts w:hint="eastAsia" w:ascii="Times New Roman" w:hAnsi="Times New Roman"/>
                <w:b/>
                <w:bCs/>
                <w:sz w:val="24"/>
                <w:highlight w:val="none"/>
              </w:rPr>
              <w:t>审查项目</w:t>
            </w:r>
          </w:p>
        </w:tc>
        <w:tc>
          <w:tcPr>
            <w:tcW w:w="6110" w:type="dxa"/>
            <w:tcBorders>
              <w:top w:val="double" w:color="auto" w:sz="4" w:space="0"/>
              <w:left w:val="single" w:color="auto" w:sz="4" w:space="0"/>
              <w:bottom w:val="single" w:color="auto" w:sz="4" w:space="0"/>
              <w:right w:val="single" w:color="auto" w:sz="4" w:space="0"/>
            </w:tcBorders>
            <w:vAlign w:val="center"/>
          </w:tcPr>
          <w:p w14:paraId="415457F4">
            <w:pPr>
              <w:pStyle w:val="91"/>
              <w:spacing w:beforeLines="50" w:afterLines="50" w:line="360" w:lineRule="auto"/>
              <w:ind w:firstLine="0" w:firstLineChars="0"/>
              <w:jc w:val="center"/>
              <w:rPr>
                <w:rFonts w:ascii="Times New Roman" w:hAnsi="Times New Roman"/>
                <w:b/>
                <w:bCs/>
                <w:sz w:val="24"/>
                <w:highlight w:val="none"/>
              </w:rPr>
            </w:pPr>
            <w:r>
              <w:rPr>
                <w:rFonts w:hint="eastAsia" w:ascii="Times New Roman" w:hAnsi="Times New Roman"/>
                <w:b/>
                <w:bCs/>
                <w:sz w:val="24"/>
                <w:highlight w:val="none"/>
              </w:rPr>
              <w:t>内容</w:t>
            </w:r>
          </w:p>
        </w:tc>
        <w:tc>
          <w:tcPr>
            <w:tcW w:w="1275" w:type="dxa"/>
            <w:tcBorders>
              <w:top w:val="double" w:color="auto" w:sz="4" w:space="0"/>
              <w:left w:val="single" w:color="auto" w:sz="4" w:space="0"/>
              <w:bottom w:val="single" w:color="auto" w:sz="4" w:space="0"/>
              <w:right w:val="double" w:color="auto" w:sz="4" w:space="0"/>
            </w:tcBorders>
          </w:tcPr>
          <w:p w14:paraId="481C9757">
            <w:pPr>
              <w:pStyle w:val="91"/>
              <w:spacing w:beforeLines="50" w:afterLines="50" w:line="360" w:lineRule="auto"/>
              <w:ind w:firstLine="0" w:firstLineChars="0"/>
              <w:jc w:val="center"/>
              <w:rPr>
                <w:rFonts w:ascii="Times New Roman" w:hAnsi="Times New Roman"/>
                <w:b/>
                <w:bCs/>
                <w:sz w:val="24"/>
                <w:highlight w:val="none"/>
              </w:rPr>
            </w:pPr>
            <w:r>
              <w:rPr>
                <w:rFonts w:hint="eastAsia" w:ascii="Times New Roman" w:hAnsi="Times New Roman"/>
                <w:b/>
                <w:bCs/>
                <w:sz w:val="24"/>
                <w:highlight w:val="none"/>
              </w:rPr>
              <w:t>是否符合</w:t>
            </w:r>
          </w:p>
        </w:tc>
      </w:tr>
      <w:tr w14:paraId="440136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1465" w:type="dxa"/>
            <w:vMerge w:val="restart"/>
            <w:tcBorders>
              <w:top w:val="single" w:color="auto" w:sz="4" w:space="0"/>
              <w:left w:val="double" w:color="auto" w:sz="4" w:space="0"/>
              <w:right w:val="single" w:color="auto" w:sz="4" w:space="0"/>
            </w:tcBorders>
            <w:vAlign w:val="center"/>
          </w:tcPr>
          <w:p w14:paraId="70973E70">
            <w:pPr>
              <w:pStyle w:val="91"/>
              <w:adjustRightInd w:val="0"/>
              <w:snapToGrid w:val="0"/>
              <w:spacing w:line="360" w:lineRule="auto"/>
              <w:ind w:firstLine="0" w:firstLineChars="0"/>
              <w:rPr>
                <w:rFonts w:ascii="Times New Roman" w:hAnsi="Times New Roman"/>
                <w:bCs/>
                <w:sz w:val="24"/>
                <w:highlight w:val="none"/>
              </w:rPr>
            </w:pPr>
            <w:r>
              <w:rPr>
                <w:rFonts w:hint="eastAsia" w:ascii="Times New Roman" w:hAnsi="Times New Roman"/>
                <w:bCs/>
                <w:sz w:val="24"/>
                <w:highlight w:val="none"/>
              </w:rPr>
              <w:t>资格性审查</w:t>
            </w:r>
          </w:p>
        </w:tc>
        <w:tc>
          <w:tcPr>
            <w:tcW w:w="6110" w:type="dxa"/>
            <w:tcBorders>
              <w:top w:val="single" w:color="auto" w:sz="4" w:space="0"/>
              <w:left w:val="single" w:color="auto" w:sz="4" w:space="0"/>
              <w:right w:val="single" w:color="auto" w:sz="4" w:space="0"/>
            </w:tcBorders>
            <w:vAlign w:val="center"/>
          </w:tcPr>
          <w:p w14:paraId="4507923B">
            <w:pPr>
              <w:pStyle w:val="91"/>
              <w:adjustRightInd w:val="0"/>
              <w:snapToGrid w:val="0"/>
              <w:spacing w:line="360" w:lineRule="auto"/>
              <w:ind w:firstLine="0" w:firstLineChars="0"/>
              <w:rPr>
                <w:rFonts w:ascii="Times New Roman" w:hAnsi="Times New Roman"/>
                <w:bCs/>
                <w:sz w:val="24"/>
                <w:highlight w:val="none"/>
              </w:rPr>
            </w:pPr>
            <w:r>
              <w:rPr>
                <w:rFonts w:ascii="Times New Roman" w:hAnsi="Times New Roman"/>
                <w:bCs/>
                <w:sz w:val="24"/>
                <w:highlight w:val="none"/>
              </w:rPr>
              <w:t>1.</w:t>
            </w:r>
            <w:r>
              <w:rPr>
                <w:rFonts w:hint="eastAsia" w:ascii="Times New Roman" w:hAnsi="Times New Roman"/>
                <w:bCs/>
                <w:sz w:val="24"/>
                <w:highlight w:val="none"/>
              </w:rPr>
              <w:t>有效的营业执照</w:t>
            </w:r>
            <w:r>
              <w:rPr>
                <w:rFonts w:hint="eastAsia" w:ascii="宋体" w:hAnsi="宋体"/>
                <w:sz w:val="24"/>
                <w:szCs w:val="21"/>
                <w:highlight w:val="none"/>
              </w:rPr>
              <w:t>（或事业法人登记证或身份证等相关证明）。</w:t>
            </w:r>
          </w:p>
        </w:tc>
        <w:tc>
          <w:tcPr>
            <w:tcW w:w="1275" w:type="dxa"/>
            <w:tcBorders>
              <w:top w:val="single" w:color="auto" w:sz="4" w:space="0"/>
              <w:left w:val="single" w:color="auto" w:sz="4" w:space="0"/>
              <w:bottom w:val="single" w:color="auto" w:sz="4" w:space="0"/>
              <w:right w:val="double" w:color="auto" w:sz="4" w:space="0"/>
            </w:tcBorders>
            <w:vAlign w:val="center"/>
          </w:tcPr>
          <w:p w14:paraId="4A449D55">
            <w:pPr>
              <w:pStyle w:val="91"/>
              <w:adjustRightInd w:val="0"/>
              <w:snapToGrid w:val="0"/>
              <w:spacing w:line="360" w:lineRule="auto"/>
              <w:ind w:firstLine="0" w:firstLineChars="0"/>
              <w:jc w:val="left"/>
              <w:rPr>
                <w:rFonts w:ascii="Times New Roman" w:hAnsi="Times New Roman"/>
                <w:bCs/>
                <w:sz w:val="24"/>
                <w:highlight w:val="none"/>
              </w:rPr>
            </w:pPr>
          </w:p>
        </w:tc>
      </w:tr>
      <w:tr w14:paraId="1D723CD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465" w:type="dxa"/>
            <w:vMerge w:val="continue"/>
            <w:tcBorders>
              <w:left w:val="double" w:color="auto" w:sz="4" w:space="0"/>
              <w:right w:val="single" w:color="auto" w:sz="4" w:space="0"/>
            </w:tcBorders>
            <w:vAlign w:val="center"/>
          </w:tcPr>
          <w:p w14:paraId="0EDAFB6F">
            <w:pPr>
              <w:widowControl/>
              <w:spacing w:line="360" w:lineRule="auto"/>
              <w:rPr>
                <w:rFonts w:eastAsia="宋体"/>
                <w:bCs/>
                <w:sz w:val="24"/>
                <w:szCs w:val="22"/>
                <w:highlight w:val="none"/>
              </w:rPr>
            </w:pPr>
          </w:p>
        </w:tc>
        <w:tc>
          <w:tcPr>
            <w:tcW w:w="6110" w:type="dxa"/>
            <w:tcBorders>
              <w:top w:val="single" w:color="auto" w:sz="4" w:space="0"/>
              <w:left w:val="single" w:color="auto" w:sz="4" w:space="0"/>
              <w:bottom w:val="single" w:color="auto" w:sz="4" w:space="0"/>
              <w:right w:val="single" w:color="auto" w:sz="4" w:space="0"/>
            </w:tcBorders>
            <w:vAlign w:val="center"/>
          </w:tcPr>
          <w:p w14:paraId="026F429A">
            <w:pPr>
              <w:adjustRightInd w:val="0"/>
              <w:snapToGrid w:val="0"/>
              <w:spacing w:line="360" w:lineRule="auto"/>
              <w:rPr>
                <w:rFonts w:eastAsia="宋体"/>
                <w:sz w:val="24"/>
                <w:szCs w:val="21"/>
                <w:highlight w:val="none"/>
              </w:rPr>
            </w:pPr>
            <w:r>
              <w:rPr>
                <w:rFonts w:hint="eastAsia" w:eastAsia="宋体"/>
                <w:sz w:val="24"/>
                <w:szCs w:val="21"/>
                <w:highlight w:val="none"/>
              </w:rPr>
              <w:t>2</w:t>
            </w:r>
            <w:r>
              <w:rPr>
                <w:rFonts w:eastAsia="宋体"/>
                <w:sz w:val="24"/>
                <w:szCs w:val="21"/>
                <w:highlight w:val="none"/>
              </w:rPr>
              <w:t>.</w:t>
            </w:r>
            <w:r>
              <w:rPr>
                <w:rFonts w:hint="eastAsia" w:eastAsia="宋体"/>
                <w:bCs/>
                <w:sz w:val="24"/>
                <w:szCs w:val="21"/>
                <w:highlight w:val="none"/>
              </w:rPr>
              <w:t>履行合同所必需的设备和专业技术能力</w:t>
            </w:r>
            <w:r>
              <w:rPr>
                <w:rFonts w:hint="eastAsia" w:eastAsia="宋体"/>
                <w:bCs/>
                <w:sz w:val="24"/>
                <w:szCs w:val="21"/>
                <w:highlight w:val="none"/>
                <w:lang w:eastAsia="zh-CN"/>
              </w:rPr>
              <w:t>（</w:t>
            </w:r>
            <w:r>
              <w:rPr>
                <w:rFonts w:hint="eastAsia" w:eastAsia="宋体"/>
                <w:bCs/>
                <w:sz w:val="24"/>
                <w:szCs w:val="21"/>
                <w:highlight w:val="none"/>
              </w:rPr>
              <w:t>提供承诺函</w:t>
            </w:r>
            <w:r>
              <w:rPr>
                <w:rFonts w:hint="eastAsia" w:eastAsia="宋体"/>
                <w:bCs/>
                <w:sz w:val="24"/>
                <w:szCs w:val="21"/>
                <w:highlight w:val="none"/>
                <w:lang w:eastAsia="zh-CN"/>
              </w:rPr>
              <w:t>）。</w:t>
            </w:r>
          </w:p>
        </w:tc>
        <w:tc>
          <w:tcPr>
            <w:tcW w:w="1275" w:type="dxa"/>
            <w:tcBorders>
              <w:top w:val="single" w:color="auto" w:sz="4" w:space="0"/>
              <w:left w:val="single" w:color="auto" w:sz="4" w:space="0"/>
              <w:bottom w:val="single" w:color="auto" w:sz="4" w:space="0"/>
              <w:right w:val="double" w:color="auto" w:sz="4" w:space="0"/>
            </w:tcBorders>
            <w:vAlign w:val="center"/>
          </w:tcPr>
          <w:p w14:paraId="1F986EEF">
            <w:pPr>
              <w:adjustRightInd w:val="0"/>
              <w:snapToGrid w:val="0"/>
              <w:spacing w:line="360" w:lineRule="auto"/>
              <w:jc w:val="left"/>
              <w:rPr>
                <w:rFonts w:eastAsia="宋体"/>
                <w:sz w:val="24"/>
                <w:szCs w:val="21"/>
                <w:highlight w:val="none"/>
              </w:rPr>
            </w:pPr>
          </w:p>
        </w:tc>
      </w:tr>
      <w:tr w14:paraId="21A77C2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465" w:type="dxa"/>
            <w:vMerge w:val="continue"/>
            <w:tcBorders>
              <w:left w:val="double" w:color="auto" w:sz="4" w:space="0"/>
              <w:bottom w:val="single" w:color="auto" w:sz="4" w:space="0"/>
              <w:right w:val="single" w:color="auto" w:sz="4" w:space="0"/>
            </w:tcBorders>
            <w:vAlign w:val="center"/>
          </w:tcPr>
          <w:p w14:paraId="5C9E8B91">
            <w:pPr>
              <w:widowControl/>
              <w:spacing w:line="360" w:lineRule="auto"/>
              <w:rPr>
                <w:rFonts w:eastAsia="宋体"/>
                <w:bCs/>
                <w:sz w:val="24"/>
                <w:szCs w:val="22"/>
                <w:highlight w:val="none"/>
              </w:rPr>
            </w:pPr>
          </w:p>
        </w:tc>
        <w:tc>
          <w:tcPr>
            <w:tcW w:w="6110" w:type="dxa"/>
            <w:tcBorders>
              <w:top w:val="single" w:color="auto" w:sz="4" w:space="0"/>
              <w:left w:val="single" w:color="auto" w:sz="4" w:space="0"/>
              <w:bottom w:val="single" w:color="auto" w:sz="4" w:space="0"/>
              <w:right w:val="single" w:color="auto" w:sz="4" w:space="0"/>
            </w:tcBorders>
            <w:vAlign w:val="center"/>
          </w:tcPr>
          <w:p w14:paraId="23E98BD5">
            <w:pPr>
              <w:adjustRightInd w:val="0"/>
              <w:snapToGrid w:val="0"/>
              <w:spacing w:line="360" w:lineRule="auto"/>
              <w:rPr>
                <w:rFonts w:eastAsia="宋体"/>
                <w:sz w:val="24"/>
                <w:szCs w:val="21"/>
                <w:highlight w:val="none"/>
              </w:rPr>
            </w:pPr>
            <w:r>
              <w:rPr>
                <w:rFonts w:hint="eastAsia" w:eastAsia="宋体"/>
                <w:sz w:val="24"/>
                <w:szCs w:val="21"/>
                <w:highlight w:val="none"/>
              </w:rPr>
              <w:t>3</w:t>
            </w:r>
            <w:r>
              <w:rPr>
                <w:rFonts w:eastAsia="宋体"/>
                <w:sz w:val="24"/>
                <w:szCs w:val="21"/>
                <w:highlight w:val="none"/>
              </w:rPr>
              <w:t>.</w:t>
            </w:r>
            <w:r>
              <w:rPr>
                <w:rFonts w:hint="eastAsia" w:eastAsia="宋体"/>
                <w:bCs/>
                <w:sz w:val="24"/>
                <w:szCs w:val="21"/>
                <w:highlight w:val="none"/>
              </w:rPr>
              <w:t>本次遴选不接受联合体遴选响应</w:t>
            </w:r>
            <w:r>
              <w:rPr>
                <w:rFonts w:hint="eastAsia" w:eastAsia="宋体"/>
                <w:sz w:val="24"/>
                <w:szCs w:val="21"/>
                <w:highlight w:val="none"/>
              </w:rPr>
              <w:t>。</w:t>
            </w:r>
          </w:p>
        </w:tc>
        <w:tc>
          <w:tcPr>
            <w:tcW w:w="1275" w:type="dxa"/>
            <w:tcBorders>
              <w:top w:val="single" w:color="auto" w:sz="4" w:space="0"/>
              <w:left w:val="single" w:color="auto" w:sz="4" w:space="0"/>
              <w:bottom w:val="single" w:color="auto" w:sz="4" w:space="0"/>
              <w:right w:val="double" w:color="auto" w:sz="4" w:space="0"/>
            </w:tcBorders>
            <w:vAlign w:val="center"/>
          </w:tcPr>
          <w:p w14:paraId="69F4DDEF">
            <w:pPr>
              <w:adjustRightInd w:val="0"/>
              <w:snapToGrid w:val="0"/>
              <w:spacing w:line="360" w:lineRule="auto"/>
              <w:jc w:val="left"/>
              <w:rPr>
                <w:rFonts w:eastAsia="宋体"/>
                <w:sz w:val="24"/>
                <w:szCs w:val="21"/>
                <w:highlight w:val="none"/>
              </w:rPr>
            </w:pPr>
          </w:p>
        </w:tc>
      </w:tr>
      <w:tr w14:paraId="498B3ED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465" w:type="dxa"/>
            <w:vMerge w:val="restart"/>
            <w:tcBorders>
              <w:top w:val="single" w:color="auto" w:sz="4" w:space="0"/>
              <w:left w:val="double" w:color="auto" w:sz="4" w:space="0"/>
              <w:bottom w:val="double" w:color="auto" w:sz="4" w:space="0"/>
              <w:right w:val="single" w:color="auto" w:sz="4" w:space="0"/>
            </w:tcBorders>
            <w:vAlign w:val="center"/>
          </w:tcPr>
          <w:p w14:paraId="45481A4E">
            <w:pPr>
              <w:pStyle w:val="91"/>
              <w:adjustRightInd w:val="0"/>
              <w:snapToGrid w:val="0"/>
              <w:spacing w:line="360" w:lineRule="auto"/>
              <w:ind w:firstLine="0" w:firstLineChars="0"/>
              <w:rPr>
                <w:rFonts w:ascii="Times New Roman" w:hAnsi="Times New Roman"/>
                <w:bCs/>
                <w:sz w:val="24"/>
                <w:highlight w:val="none"/>
              </w:rPr>
            </w:pPr>
            <w:r>
              <w:rPr>
                <w:rFonts w:hint="eastAsia" w:ascii="Times New Roman" w:hAnsi="Times New Roman"/>
                <w:bCs/>
                <w:sz w:val="24"/>
                <w:highlight w:val="none"/>
              </w:rPr>
              <w:t>符合性审查</w:t>
            </w:r>
          </w:p>
        </w:tc>
        <w:tc>
          <w:tcPr>
            <w:tcW w:w="6110" w:type="dxa"/>
            <w:tcBorders>
              <w:top w:val="single" w:color="auto" w:sz="4" w:space="0"/>
              <w:left w:val="single" w:color="auto" w:sz="4" w:space="0"/>
              <w:bottom w:val="single" w:color="auto" w:sz="4" w:space="0"/>
              <w:right w:val="single" w:color="auto" w:sz="4" w:space="0"/>
            </w:tcBorders>
            <w:vAlign w:val="center"/>
          </w:tcPr>
          <w:p w14:paraId="7D507AB8">
            <w:pPr>
              <w:pStyle w:val="91"/>
              <w:adjustRightInd w:val="0"/>
              <w:snapToGrid w:val="0"/>
              <w:spacing w:line="360" w:lineRule="auto"/>
              <w:ind w:firstLine="0" w:firstLineChars="0"/>
              <w:rPr>
                <w:rFonts w:ascii="Times New Roman" w:hAnsi="Times New Roman"/>
                <w:bCs/>
                <w:sz w:val="24"/>
                <w:highlight w:val="none"/>
              </w:rPr>
            </w:pPr>
            <w:r>
              <w:rPr>
                <w:rFonts w:ascii="Times New Roman" w:hAnsi="Times New Roman"/>
                <w:bCs/>
                <w:sz w:val="24"/>
                <w:highlight w:val="none"/>
              </w:rPr>
              <w:t>1.</w:t>
            </w:r>
            <w:r>
              <w:rPr>
                <w:rFonts w:hint="eastAsia" w:ascii="Times New Roman" w:hAnsi="Times New Roman"/>
                <w:bCs/>
                <w:sz w:val="24"/>
                <w:highlight w:val="none"/>
              </w:rPr>
              <w:t>响应文件资料完整，打印、盖章、签字等情况符合要求。</w:t>
            </w:r>
          </w:p>
        </w:tc>
        <w:tc>
          <w:tcPr>
            <w:tcW w:w="1275" w:type="dxa"/>
            <w:tcBorders>
              <w:top w:val="single" w:color="auto" w:sz="4" w:space="0"/>
              <w:left w:val="single" w:color="auto" w:sz="4" w:space="0"/>
              <w:bottom w:val="single" w:color="auto" w:sz="4" w:space="0"/>
              <w:right w:val="double" w:color="auto" w:sz="4" w:space="0"/>
            </w:tcBorders>
            <w:vAlign w:val="center"/>
          </w:tcPr>
          <w:p w14:paraId="09C167B6">
            <w:pPr>
              <w:pStyle w:val="91"/>
              <w:adjustRightInd w:val="0"/>
              <w:snapToGrid w:val="0"/>
              <w:spacing w:line="360" w:lineRule="auto"/>
              <w:ind w:firstLine="0" w:firstLineChars="0"/>
              <w:jc w:val="left"/>
              <w:rPr>
                <w:rFonts w:ascii="Times New Roman" w:hAnsi="Times New Roman"/>
                <w:bCs/>
                <w:sz w:val="24"/>
                <w:highlight w:val="none"/>
              </w:rPr>
            </w:pPr>
          </w:p>
        </w:tc>
      </w:tr>
      <w:tr w14:paraId="38A4CC8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465" w:type="dxa"/>
            <w:vMerge w:val="continue"/>
            <w:tcBorders>
              <w:top w:val="single" w:color="auto" w:sz="4" w:space="0"/>
              <w:left w:val="double" w:color="auto" w:sz="4" w:space="0"/>
              <w:bottom w:val="double" w:color="auto" w:sz="4" w:space="0"/>
              <w:right w:val="single" w:color="auto" w:sz="4" w:space="0"/>
            </w:tcBorders>
            <w:vAlign w:val="center"/>
          </w:tcPr>
          <w:p w14:paraId="42E77D58">
            <w:pPr>
              <w:widowControl/>
              <w:spacing w:line="360" w:lineRule="auto"/>
              <w:rPr>
                <w:rFonts w:eastAsia="宋体"/>
                <w:bCs/>
                <w:sz w:val="24"/>
                <w:szCs w:val="22"/>
                <w:highlight w:val="none"/>
              </w:rPr>
            </w:pPr>
          </w:p>
        </w:tc>
        <w:tc>
          <w:tcPr>
            <w:tcW w:w="6110" w:type="dxa"/>
            <w:tcBorders>
              <w:top w:val="single" w:color="auto" w:sz="4" w:space="0"/>
              <w:left w:val="single" w:color="auto" w:sz="4" w:space="0"/>
              <w:bottom w:val="single" w:color="auto" w:sz="4" w:space="0"/>
              <w:right w:val="single" w:color="auto" w:sz="4" w:space="0"/>
            </w:tcBorders>
            <w:vAlign w:val="center"/>
          </w:tcPr>
          <w:p w14:paraId="78FCFDDC">
            <w:pPr>
              <w:pStyle w:val="91"/>
              <w:adjustRightInd w:val="0"/>
              <w:snapToGrid w:val="0"/>
              <w:spacing w:line="360" w:lineRule="auto"/>
              <w:ind w:firstLine="0" w:firstLineChars="0"/>
              <w:rPr>
                <w:rFonts w:ascii="Times New Roman" w:hAnsi="Times New Roman"/>
                <w:bCs/>
                <w:sz w:val="24"/>
                <w:highlight w:val="none"/>
              </w:rPr>
            </w:pPr>
            <w:r>
              <w:rPr>
                <w:rFonts w:ascii="Times New Roman" w:hAnsi="Times New Roman"/>
                <w:bCs/>
                <w:sz w:val="24"/>
                <w:highlight w:val="none"/>
              </w:rPr>
              <w:t>2.</w:t>
            </w:r>
            <w:r>
              <w:rPr>
                <w:rFonts w:hint="eastAsia" w:ascii="Times New Roman" w:hAnsi="Times New Roman"/>
                <w:bCs/>
                <w:sz w:val="24"/>
                <w:highlight w:val="none"/>
              </w:rPr>
              <w:t>有效的法定代表人／授权委托书。</w:t>
            </w:r>
          </w:p>
        </w:tc>
        <w:tc>
          <w:tcPr>
            <w:tcW w:w="1275" w:type="dxa"/>
            <w:tcBorders>
              <w:top w:val="single" w:color="auto" w:sz="4" w:space="0"/>
              <w:left w:val="single" w:color="auto" w:sz="4" w:space="0"/>
              <w:bottom w:val="single" w:color="auto" w:sz="4" w:space="0"/>
              <w:right w:val="double" w:color="auto" w:sz="4" w:space="0"/>
            </w:tcBorders>
            <w:vAlign w:val="center"/>
          </w:tcPr>
          <w:p w14:paraId="3D0D9B81">
            <w:pPr>
              <w:pStyle w:val="91"/>
              <w:adjustRightInd w:val="0"/>
              <w:snapToGrid w:val="0"/>
              <w:spacing w:line="360" w:lineRule="auto"/>
              <w:ind w:firstLine="0" w:firstLineChars="0"/>
              <w:jc w:val="left"/>
              <w:rPr>
                <w:rFonts w:ascii="Times New Roman" w:hAnsi="Times New Roman"/>
                <w:bCs/>
                <w:sz w:val="24"/>
                <w:highlight w:val="none"/>
              </w:rPr>
            </w:pPr>
          </w:p>
        </w:tc>
      </w:tr>
      <w:tr w14:paraId="126B35F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465" w:type="dxa"/>
            <w:vMerge w:val="continue"/>
            <w:tcBorders>
              <w:top w:val="single" w:color="auto" w:sz="4" w:space="0"/>
              <w:left w:val="double" w:color="auto" w:sz="4" w:space="0"/>
              <w:bottom w:val="double" w:color="auto" w:sz="4" w:space="0"/>
              <w:right w:val="single" w:color="auto" w:sz="4" w:space="0"/>
            </w:tcBorders>
            <w:vAlign w:val="center"/>
          </w:tcPr>
          <w:p w14:paraId="41DE74A1">
            <w:pPr>
              <w:widowControl/>
              <w:spacing w:line="360" w:lineRule="auto"/>
              <w:rPr>
                <w:rFonts w:eastAsia="宋体"/>
                <w:bCs/>
                <w:sz w:val="24"/>
                <w:szCs w:val="22"/>
                <w:highlight w:val="none"/>
              </w:rPr>
            </w:pPr>
          </w:p>
        </w:tc>
        <w:tc>
          <w:tcPr>
            <w:tcW w:w="6110" w:type="dxa"/>
            <w:tcBorders>
              <w:top w:val="single" w:color="auto" w:sz="4" w:space="0"/>
              <w:left w:val="single" w:color="auto" w:sz="4" w:space="0"/>
              <w:bottom w:val="single" w:color="auto" w:sz="4" w:space="0"/>
              <w:right w:val="single" w:color="auto" w:sz="4" w:space="0"/>
            </w:tcBorders>
            <w:vAlign w:val="center"/>
          </w:tcPr>
          <w:p w14:paraId="75404590">
            <w:pPr>
              <w:pStyle w:val="93"/>
              <w:kinsoku w:val="0"/>
              <w:overflowPunct w:val="0"/>
              <w:spacing w:line="360" w:lineRule="auto"/>
              <w:jc w:val="both"/>
              <w:rPr>
                <w:rFonts w:ascii="宋体" w:cs="宋体"/>
                <w:highlight w:val="none"/>
              </w:rPr>
            </w:pPr>
            <w:r>
              <w:rPr>
                <w:rFonts w:ascii="宋体" w:cs="宋体"/>
                <w:highlight w:val="none"/>
              </w:rPr>
              <w:t>3</w:t>
            </w:r>
            <w:r>
              <w:rPr>
                <w:rFonts w:hint="eastAsia" w:ascii="宋体" w:cs="宋体"/>
                <w:highlight w:val="none"/>
              </w:rPr>
              <w:t>.报价总金额未超过本项目采购项目预算。</w:t>
            </w:r>
          </w:p>
        </w:tc>
        <w:tc>
          <w:tcPr>
            <w:tcW w:w="1275" w:type="dxa"/>
            <w:tcBorders>
              <w:top w:val="single" w:color="auto" w:sz="4" w:space="0"/>
              <w:left w:val="single" w:color="auto" w:sz="4" w:space="0"/>
              <w:bottom w:val="single" w:color="auto" w:sz="4" w:space="0"/>
              <w:right w:val="double" w:color="auto" w:sz="4" w:space="0"/>
            </w:tcBorders>
            <w:vAlign w:val="center"/>
          </w:tcPr>
          <w:p w14:paraId="2AD7BCB6">
            <w:pPr>
              <w:pStyle w:val="91"/>
              <w:adjustRightInd w:val="0"/>
              <w:snapToGrid w:val="0"/>
              <w:spacing w:line="360" w:lineRule="auto"/>
              <w:ind w:firstLine="0" w:firstLineChars="0"/>
              <w:jc w:val="left"/>
              <w:rPr>
                <w:rFonts w:ascii="Times New Roman" w:hAnsi="Times New Roman"/>
                <w:bCs/>
                <w:color w:val="FF0000"/>
                <w:sz w:val="24"/>
                <w:highlight w:val="none"/>
              </w:rPr>
            </w:pPr>
          </w:p>
        </w:tc>
      </w:tr>
      <w:tr w14:paraId="4AAEAE1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65" w:type="dxa"/>
            <w:vMerge w:val="continue"/>
            <w:tcBorders>
              <w:top w:val="single" w:color="auto" w:sz="4" w:space="0"/>
              <w:left w:val="double" w:color="auto" w:sz="4" w:space="0"/>
              <w:bottom w:val="double" w:color="auto" w:sz="4" w:space="0"/>
              <w:right w:val="single" w:color="auto" w:sz="4" w:space="0"/>
            </w:tcBorders>
            <w:vAlign w:val="center"/>
          </w:tcPr>
          <w:p w14:paraId="69D8F4B0">
            <w:pPr>
              <w:widowControl/>
              <w:spacing w:line="360" w:lineRule="auto"/>
              <w:rPr>
                <w:rFonts w:eastAsia="宋体"/>
                <w:bCs/>
                <w:sz w:val="24"/>
                <w:szCs w:val="22"/>
                <w:highlight w:val="none"/>
              </w:rPr>
            </w:pPr>
          </w:p>
        </w:tc>
        <w:tc>
          <w:tcPr>
            <w:tcW w:w="6110" w:type="dxa"/>
            <w:tcBorders>
              <w:top w:val="single" w:color="auto" w:sz="4" w:space="0"/>
              <w:left w:val="single" w:color="auto" w:sz="4" w:space="0"/>
              <w:bottom w:val="double" w:color="auto" w:sz="4" w:space="0"/>
              <w:right w:val="single" w:color="auto" w:sz="4" w:space="0"/>
            </w:tcBorders>
            <w:vAlign w:val="center"/>
          </w:tcPr>
          <w:p w14:paraId="6FAAF4BE">
            <w:pPr>
              <w:pStyle w:val="93"/>
              <w:kinsoku w:val="0"/>
              <w:overflowPunct w:val="0"/>
              <w:spacing w:line="360" w:lineRule="auto"/>
              <w:jc w:val="both"/>
              <w:rPr>
                <w:highlight w:val="none"/>
              </w:rPr>
            </w:pPr>
            <w:r>
              <w:rPr>
                <w:highlight w:val="none"/>
              </w:rPr>
              <w:t>4.</w:t>
            </w:r>
            <w:r>
              <w:rPr>
                <w:rFonts w:hint="eastAsia"/>
                <w:highlight w:val="none"/>
              </w:rPr>
              <w:t>没有其他未实质性响应文件要求的。</w:t>
            </w:r>
          </w:p>
        </w:tc>
        <w:tc>
          <w:tcPr>
            <w:tcW w:w="1275" w:type="dxa"/>
            <w:tcBorders>
              <w:top w:val="single" w:color="auto" w:sz="4" w:space="0"/>
              <w:left w:val="single" w:color="auto" w:sz="4" w:space="0"/>
              <w:bottom w:val="double" w:color="auto" w:sz="4" w:space="0"/>
              <w:right w:val="double" w:color="auto" w:sz="4" w:space="0"/>
            </w:tcBorders>
            <w:vAlign w:val="center"/>
          </w:tcPr>
          <w:p w14:paraId="209F7A9E">
            <w:pPr>
              <w:pStyle w:val="91"/>
              <w:adjustRightInd w:val="0"/>
              <w:snapToGrid w:val="0"/>
              <w:spacing w:line="360" w:lineRule="auto"/>
              <w:ind w:firstLine="0" w:firstLineChars="0"/>
              <w:jc w:val="left"/>
              <w:rPr>
                <w:rFonts w:ascii="Times New Roman" w:hAnsi="Times New Roman"/>
                <w:bCs/>
                <w:color w:val="FF0000"/>
                <w:sz w:val="24"/>
                <w:highlight w:val="none"/>
              </w:rPr>
            </w:pPr>
          </w:p>
        </w:tc>
      </w:tr>
    </w:tbl>
    <w:p w14:paraId="2B9F4459">
      <w:pPr>
        <w:spacing w:line="360" w:lineRule="auto"/>
        <w:rPr>
          <w:rFonts w:ascii="宋体" w:hAnsi="宋体" w:eastAsia="宋体"/>
          <w:color w:val="000000"/>
          <w:sz w:val="24"/>
          <w:szCs w:val="24"/>
          <w:highlight w:val="none"/>
        </w:rPr>
      </w:pPr>
      <w:r>
        <w:rPr>
          <w:rFonts w:hint="eastAsia" w:ascii="宋体" w:hAnsi="宋体" w:eastAsia="宋体"/>
          <w:color w:val="000000"/>
          <w:sz w:val="24"/>
          <w:szCs w:val="24"/>
          <w:highlight w:val="none"/>
        </w:rPr>
        <w:t>备注：1.每一项符合的打“√”，不符合的打“×”。</w:t>
      </w:r>
    </w:p>
    <w:p w14:paraId="550490E1">
      <w:pPr>
        <w:spacing w:line="360" w:lineRule="auto"/>
        <w:ind w:firstLine="480" w:firstLineChars="200"/>
        <w:rPr>
          <w:rFonts w:ascii="宋体" w:hAnsi="宋体" w:eastAsia="宋体"/>
          <w:color w:val="000000"/>
          <w:sz w:val="24"/>
          <w:szCs w:val="24"/>
          <w:highlight w:val="none"/>
        </w:rPr>
      </w:pPr>
      <w:r>
        <w:rPr>
          <w:rFonts w:hint="eastAsia" w:ascii="宋体" w:hAnsi="宋体" w:eastAsia="宋体"/>
          <w:color w:val="000000"/>
          <w:sz w:val="24"/>
          <w:szCs w:val="24"/>
          <w:highlight w:val="none"/>
        </w:rPr>
        <w:t xml:space="preserve">  2.</w:t>
      </w:r>
      <w:r>
        <w:rPr>
          <w:rFonts w:hint="eastAsia" w:ascii="宋体" w:hAnsi="宋体" w:eastAsia="宋体"/>
          <w:sz w:val="24"/>
          <w:szCs w:val="24"/>
          <w:highlight w:val="none"/>
        </w:rPr>
        <w:t>评</w:t>
      </w:r>
      <w:r>
        <w:rPr>
          <w:rFonts w:hint="eastAsia" w:ascii="宋体" w:hAnsi="宋体" w:eastAsia="宋体"/>
          <w:color w:val="000000"/>
          <w:sz w:val="24"/>
          <w:szCs w:val="24"/>
          <w:highlight w:val="none"/>
        </w:rPr>
        <w:t>委认为通过初审的响应文件（少数服从多数），为有效响应文件，否则视为不通过。通过初审的响应文件方可进入遴选程序，视为不通过的响应文件，作无效投标处理，由评标委员会出具书面说明。</w:t>
      </w:r>
    </w:p>
    <w:p w14:paraId="02F5520A">
      <w:pPr>
        <w:tabs>
          <w:tab w:val="left" w:pos="1365"/>
        </w:tabs>
        <w:spacing w:line="360" w:lineRule="auto"/>
        <w:ind w:firstLine="720" w:firstLineChars="300"/>
        <w:rPr>
          <w:rFonts w:eastAsia="宋体"/>
          <w:sz w:val="24"/>
          <w:szCs w:val="21"/>
          <w:highlight w:val="none"/>
        </w:rPr>
      </w:pPr>
      <w:r>
        <w:rPr>
          <w:rFonts w:hint="eastAsia" w:eastAsia="宋体"/>
          <w:sz w:val="24"/>
          <w:szCs w:val="21"/>
          <w:highlight w:val="none"/>
        </w:rPr>
        <w:t>3</w:t>
      </w:r>
      <w:r>
        <w:rPr>
          <w:rFonts w:eastAsia="宋体"/>
          <w:sz w:val="24"/>
          <w:szCs w:val="21"/>
          <w:highlight w:val="none"/>
        </w:rPr>
        <w:t>.价格核准：</w:t>
      </w:r>
      <w:r>
        <w:rPr>
          <w:rFonts w:hint="eastAsia" w:eastAsia="宋体"/>
          <w:sz w:val="24"/>
          <w:szCs w:val="21"/>
          <w:highlight w:val="none"/>
        </w:rPr>
        <w:t>遴选</w:t>
      </w:r>
      <w:r>
        <w:rPr>
          <w:rFonts w:eastAsia="宋体"/>
          <w:sz w:val="24"/>
          <w:szCs w:val="21"/>
          <w:highlight w:val="none"/>
        </w:rPr>
        <w:t>小组对有效供应商的详细报价进行复核，审查是否有计算上的错误或供货范围上的错误。对错误修正的原则如下：</w:t>
      </w:r>
    </w:p>
    <w:p w14:paraId="2F513B3B">
      <w:pPr>
        <w:tabs>
          <w:tab w:val="left" w:pos="1365"/>
          <w:tab w:val="left" w:pos="1470"/>
        </w:tabs>
        <w:spacing w:line="360" w:lineRule="auto"/>
        <w:ind w:firstLine="720" w:firstLineChars="300"/>
        <w:outlineLvl w:val="2"/>
        <w:rPr>
          <w:rFonts w:eastAsia="宋体"/>
          <w:sz w:val="24"/>
          <w:szCs w:val="21"/>
          <w:highlight w:val="none"/>
        </w:rPr>
      </w:pPr>
      <w:r>
        <w:rPr>
          <w:rFonts w:hint="eastAsia" w:eastAsia="宋体"/>
          <w:sz w:val="24"/>
          <w:szCs w:val="21"/>
          <w:highlight w:val="none"/>
        </w:rPr>
        <w:t>3</w:t>
      </w:r>
      <w:r>
        <w:rPr>
          <w:rFonts w:eastAsia="宋体"/>
          <w:sz w:val="24"/>
          <w:szCs w:val="21"/>
          <w:highlight w:val="none"/>
        </w:rPr>
        <w:t>.1响应文件的大写金额和小写金额不一致的，以大写金额为准</w:t>
      </w:r>
      <w:r>
        <w:rPr>
          <w:rFonts w:hint="eastAsia" w:eastAsia="宋体"/>
          <w:sz w:val="24"/>
          <w:szCs w:val="21"/>
          <w:highlight w:val="none"/>
        </w:rPr>
        <w:t>。</w:t>
      </w:r>
    </w:p>
    <w:p w14:paraId="7F6DFCD0">
      <w:pPr>
        <w:tabs>
          <w:tab w:val="left" w:pos="1365"/>
          <w:tab w:val="left" w:pos="1470"/>
        </w:tabs>
        <w:spacing w:line="360" w:lineRule="auto"/>
        <w:ind w:firstLine="720" w:firstLineChars="300"/>
        <w:rPr>
          <w:rFonts w:eastAsia="宋体"/>
          <w:sz w:val="24"/>
          <w:szCs w:val="21"/>
          <w:highlight w:val="none"/>
        </w:rPr>
      </w:pPr>
      <w:r>
        <w:rPr>
          <w:rFonts w:hint="eastAsia" w:eastAsia="宋体"/>
          <w:sz w:val="24"/>
          <w:szCs w:val="21"/>
          <w:highlight w:val="none"/>
        </w:rPr>
        <w:t>3</w:t>
      </w:r>
      <w:r>
        <w:rPr>
          <w:rFonts w:eastAsia="宋体"/>
          <w:sz w:val="24"/>
          <w:szCs w:val="21"/>
          <w:highlight w:val="none"/>
        </w:rPr>
        <w:t>.2当单价和数量的乘积与总价不一致时，以单价为准，并修正总价，但单价金额小数点有明显错误的除外</w:t>
      </w:r>
      <w:r>
        <w:rPr>
          <w:rFonts w:hint="eastAsia" w:eastAsia="宋体"/>
          <w:sz w:val="24"/>
          <w:szCs w:val="21"/>
          <w:highlight w:val="none"/>
        </w:rPr>
        <w:t>。</w:t>
      </w:r>
    </w:p>
    <w:p w14:paraId="56EA26E3">
      <w:pPr>
        <w:tabs>
          <w:tab w:val="left" w:pos="1365"/>
          <w:tab w:val="left" w:pos="1470"/>
        </w:tabs>
        <w:spacing w:line="360" w:lineRule="auto"/>
        <w:ind w:firstLine="720" w:firstLineChars="300"/>
        <w:outlineLvl w:val="2"/>
        <w:rPr>
          <w:rFonts w:eastAsia="宋体"/>
          <w:sz w:val="24"/>
          <w:szCs w:val="21"/>
          <w:highlight w:val="none"/>
        </w:rPr>
      </w:pPr>
      <w:r>
        <w:rPr>
          <w:rFonts w:hint="eastAsia" w:eastAsia="宋体"/>
          <w:sz w:val="24"/>
          <w:szCs w:val="21"/>
          <w:highlight w:val="none"/>
        </w:rPr>
        <w:t>3</w:t>
      </w:r>
      <w:r>
        <w:rPr>
          <w:rFonts w:eastAsia="宋体"/>
          <w:sz w:val="24"/>
          <w:szCs w:val="21"/>
          <w:highlight w:val="none"/>
        </w:rPr>
        <w:t>.3当分项之和与总价不一致时，以单价为准，并修正总价。</w:t>
      </w:r>
    </w:p>
    <w:p w14:paraId="67D19646">
      <w:pPr>
        <w:tabs>
          <w:tab w:val="left" w:pos="1365"/>
          <w:tab w:val="left" w:pos="1470"/>
        </w:tabs>
        <w:spacing w:line="360" w:lineRule="auto"/>
        <w:ind w:firstLine="720" w:firstLineChars="300"/>
        <w:outlineLvl w:val="2"/>
        <w:rPr>
          <w:rFonts w:eastAsia="宋体"/>
          <w:sz w:val="24"/>
          <w:szCs w:val="21"/>
          <w:highlight w:val="none"/>
        </w:rPr>
      </w:pPr>
      <w:r>
        <w:rPr>
          <w:rFonts w:hint="eastAsia" w:eastAsia="宋体"/>
          <w:sz w:val="24"/>
          <w:szCs w:val="21"/>
          <w:highlight w:val="none"/>
        </w:rPr>
        <w:t>3.4遴选小组认为投</w:t>
      </w:r>
      <w:r>
        <w:rPr>
          <w:rFonts w:hint="eastAsia" w:eastAsia="宋体"/>
          <w:sz w:val="21"/>
          <w:szCs w:val="21"/>
          <w:highlight w:val="none"/>
        </w:rPr>
        <w:t>标（响应）人的报价明显低于其他通过符合性审查投标人的报价，有可能影响产品质量或者不能</w:t>
      </w:r>
      <w:r>
        <w:rPr>
          <w:rFonts w:hint="eastAsia" w:eastAsia="宋体"/>
          <w:sz w:val="24"/>
          <w:szCs w:val="21"/>
          <w:highlight w:val="none"/>
        </w:rPr>
        <w:t>诚信履约的，应当要求其在遴选现场合理的时间内提供书面说明，必要时提交相关证明材料；投标（响应）人不能证明其报价合理性的，遴选小组应当将其作为无效投标处理。</w:t>
      </w:r>
    </w:p>
    <w:p w14:paraId="7F253FC4">
      <w:pPr>
        <w:tabs>
          <w:tab w:val="left" w:pos="1245"/>
        </w:tabs>
        <w:spacing w:line="360" w:lineRule="auto"/>
        <w:outlineLvl w:val="2"/>
        <w:rPr>
          <w:rFonts w:eastAsia="宋体"/>
          <w:b/>
          <w:sz w:val="24"/>
          <w:szCs w:val="21"/>
          <w:highlight w:val="none"/>
        </w:rPr>
      </w:pPr>
      <w:r>
        <w:rPr>
          <w:rFonts w:hint="eastAsia" w:eastAsia="宋体"/>
          <w:b/>
          <w:sz w:val="24"/>
          <w:szCs w:val="21"/>
          <w:highlight w:val="none"/>
        </w:rPr>
        <w:t>二、详细评审</w:t>
      </w:r>
    </w:p>
    <w:tbl>
      <w:tblPr>
        <w:tblStyle w:val="42"/>
        <w:tblW w:w="10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1117"/>
        <w:gridCol w:w="850"/>
        <w:gridCol w:w="6307"/>
        <w:gridCol w:w="1231"/>
      </w:tblGrid>
      <w:tr w14:paraId="61D5A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925" w:type="dxa"/>
            <w:vAlign w:val="center"/>
          </w:tcPr>
          <w:p w14:paraId="556EE267">
            <w:pPr>
              <w:spacing w:line="44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类别</w:t>
            </w:r>
          </w:p>
        </w:tc>
        <w:tc>
          <w:tcPr>
            <w:tcW w:w="1117" w:type="dxa"/>
            <w:vAlign w:val="center"/>
          </w:tcPr>
          <w:p w14:paraId="714C1944">
            <w:pPr>
              <w:spacing w:line="44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计分因素</w:t>
            </w:r>
          </w:p>
        </w:tc>
        <w:tc>
          <w:tcPr>
            <w:tcW w:w="850" w:type="dxa"/>
            <w:vAlign w:val="center"/>
          </w:tcPr>
          <w:p w14:paraId="1FC7705B">
            <w:pPr>
              <w:spacing w:line="44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分值</w:t>
            </w:r>
          </w:p>
        </w:tc>
        <w:tc>
          <w:tcPr>
            <w:tcW w:w="6307" w:type="dxa"/>
            <w:vAlign w:val="center"/>
          </w:tcPr>
          <w:p w14:paraId="5DFC58B5">
            <w:pPr>
              <w:spacing w:line="44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评分标准</w:t>
            </w:r>
          </w:p>
        </w:tc>
        <w:tc>
          <w:tcPr>
            <w:tcW w:w="1231" w:type="dxa"/>
            <w:vAlign w:val="center"/>
          </w:tcPr>
          <w:p w14:paraId="22883E7A">
            <w:pPr>
              <w:spacing w:line="44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评分</w:t>
            </w:r>
          </w:p>
        </w:tc>
      </w:tr>
      <w:tr w14:paraId="4C73D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25" w:type="dxa"/>
            <w:vAlign w:val="center"/>
          </w:tcPr>
          <w:p w14:paraId="4CC8954C">
            <w:pPr>
              <w:spacing w:line="32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总分</w:t>
            </w:r>
          </w:p>
        </w:tc>
        <w:tc>
          <w:tcPr>
            <w:tcW w:w="1117" w:type="dxa"/>
            <w:vAlign w:val="center"/>
          </w:tcPr>
          <w:p w14:paraId="11FDC22A">
            <w:pPr>
              <w:spacing w:line="320" w:lineRule="exact"/>
              <w:jc w:val="center"/>
              <w:rPr>
                <w:rFonts w:ascii="宋体" w:hAnsi="宋体" w:eastAsia="宋体" w:cs="宋体"/>
                <w:sz w:val="21"/>
                <w:szCs w:val="21"/>
                <w:highlight w:val="none"/>
              </w:rPr>
            </w:pPr>
            <w:r>
              <w:rPr>
                <w:rFonts w:hint="eastAsia" w:ascii="宋体" w:hAnsi="宋体" w:eastAsia="宋体"/>
                <w:sz w:val="21"/>
                <w:szCs w:val="21"/>
                <w:highlight w:val="none"/>
              </w:rPr>
              <w:t>分值构成</w:t>
            </w:r>
          </w:p>
        </w:tc>
        <w:tc>
          <w:tcPr>
            <w:tcW w:w="850" w:type="dxa"/>
            <w:vAlign w:val="center"/>
          </w:tcPr>
          <w:p w14:paraId="7712AC27">
            <w:pPr>
              <w:spacing w:line="32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100分</w:t>
            </w:r>
          </w:p>
        </w:tc>
        <w:tc>
          <w:tcPr>
            <w:tcW w:w="6307" w:type="dxa"/>
            <w:vAlign w:val="center"/>
          </w:tcPr>
          <w:p w14:paraId="713DC587">
            <w:pPr>
              <w:spacing w:line="320" w:lineRule="exact"/>
              <w:ind w:right="150" w:rightChars="50"/>
              <w:rPr>
                <w:rFonts w:ascii="宋体" w:hAnsi="宋体" w:eastAsia="宋体"/>
                <w:sz w:val="21"/>
                <w:szCs w:val="21"/>
                <w:highlight w:val="none"/>
              </w:rPr>
            </w:pPr>
            <w:r>
              <w:rPr>
                <w:rFonts w:hint="eastAsia" w:ascii="宋体" w:hAnsi="宋体" w:eastAsia="宋体"/>
                <w:sz w:val="21"/>
                <w:szCs w:val="21"/>
                <w:highlight w:val="none"/>
              </w:rPr>
              <w:t>响应报价：</w:t>
            </w:r>
            <w:r>
              <w:rPr>
                <w:rFonts w:hint="eastAsia" w:ascii="宋体" w:hAnsi="宋体" w:eastAsia="宋体"/>
                <w:sz w:val="21"/>
                <w:szCs w:val="21"/>
                <w:highlight w:val="none"/>
                <w:lang w:val="en-US" w:eastAsia="zh-CN"/>
              </w:rPr>
              <w:t>3</w:t>
            </w:r>
            <w:r>
              <w:rPr>
                <w:rFonts w:hint="eastAsia" w:ascii="宋体" w:hAnsi="宋体" w:eastAsia="宋体"/>
                <w:sz w:val="21"/>
                <w:szCs w:val="21"/>
                <w:highlight w:val="none"/>
              </w:rPr>
              <w:t>0分      商务部分：20分      技术部分：</w:t>
            </w:r>
            <w:r>
              <w:rPr>
                <w:rFonts w:hint="eastAsia" w:ascii="宋体" w:hAnsi="宋体" w:eastAsia="宋体"/>
                <w:sz w:val="21"/>
                <w:szCs w:val="21"/>
                <w:highlight w:val="none"/>
                <w:lang w:val="en-US" w:eastAsia="zh-CN"/>
              </w:rPr>
              <w:t>5</w:t>
            </w:r>
            <w:r>
              <w:rPr>
                <w:rFonts w:hint="eastAsia" w:ascii="宋体" w:hAnsi="宋体" w:eastAsia="宋体"/>
                <w:sz w:val="21"/>
                <w:szCs w:val="21"/>
                <w:highlight w:val="none"/>
              </w:rPr>
              <w:t>0分</w:t>
            </w:r>
          </w:p>
        </w:tc>
        <w:tc>
          <w:tcPr>
            <w:tcW w:w="1231" w:type="dxa"/>
            <w:vAlign w:val="center"/>
          </w:tcPr>
          <w:p w14:paraId="2D7E6E0D">
            <w:pPr>
              <w:spacing w:line="440" w:lineRule="exact"/>
              <w:jc w:val="center"/>
              <w:rPr>
                <w:rFonts w:ascii="宋体" w:hAnsi="宋体" w:eastAsia="宋体" w:cs="宋体"/>
                <w:sz w:val="21"/>
                <w:szCs w:val="21"/>
                <w:highlight w:val="none"/>
              </w:rPr>
            </w:pPr>
          </w:p>
        </w:tc>
      </w:tr>
      <w:tr w14:paraId="6BE41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25" w:type="dxa"/>
            <w:vMerge w:val="restart"/>
            <w:vAlign w:val="center"/>
          </w:tcPr>
          <w:p w14:paraId="777C4A30">
            <w:pPr>
              <w:spacing w:line="320" w:lineRule="exact"/>
              <w:ind w:left="6" w:hanging="6"/>
              <w:jc w:val="center"/>
              <w:rPr>
                <w:rFonts w:ascii="宋体" w:hAnsi="宋体" w:eastAsia="宋体" w:cs="宋体"/>
                <w:sz w:val="21"/>
                <w:szCs w:val="21"/>
                <w:highlight w:val="none"/>
              </w:rPr>
            </w:pPr>
            <w:r>
              <w:rPr>
                <w:rFonts w:hint="eastAsia" w:ascii="宋体" w:hAnsi="宋体" w:eastAsia="宋体" w:cs="宋体"/>
                <w:sz w:val="21"/>
                <w:szCs w:val="21"/>
                <w:highlight w:val="none"/>
              </w:rPr>
              <w:t>商务部分20分</w:t>
            </w:r>
          </w:p>
        </w:tc>
        <w:tc>
          <w:tcPr>
            <w:tcW w:w="1117" w:type="dxa"/>
            <w:vAlign w:val="center"/>
          </w:tcPr>
          <w:p w14:paraId="0D86544C">
            <w:pPr>
              <w:spacing w:line="320" w:lineRule="exact"/>
              <w:jc w:val="center"/>
              <w:rPr>
                <w:rFonts w:ascii="宋体" w:hAnsi="宋体" w:eastAsia="宋体"/>
                <w:sz w:val="21"/>
                <w:szCs w:val="21"/>
                <w:highlight w:val="none"/>
              </w:rPr>
            </w:pPr>
            <w:r>
              <w:rPr>
                <w:rFonts w:hint="eastAsia" w:ascii="宋体" w:hAnsi="宋体" w:eastAsia="宋体"/>
                <w:sz w:val="21"/>
                <w:szCs w:val="21"/>
                <w:highlight w:val="none"/>
                <w:lang w:val="en-US" w:eastAsia="zh-CN"/>
              </w:rPr>
              <w:t>售后服务方案</w:t>
            </w:r>
            <w:r>
              <w:rPr>
                <w:rFonts w:hint="eastAsia" w:ascii="宋体" w:hAnsi="宋体" w:eastAsia="宋体"/>
                <w:sz w:val="21"/>
                <w:szCs w:val="21"/>
                <w:highlight w:val="none"/>
              </w:rPr>
              <w:t xml:space="preserve"> </w:t>
            </w:r>
          </w:p>
        </w:tc>
        <w:tc>
          <w:tcPr>
            <w:tcW w:w="850" w:type="dxa"/>
            <w:vAlign w:val="center"/>
          </w:tcPr>
          <w:p w14:paraId="68B6A750">
            <w:pPr>
              <w:spacing w:line="320" w:lineRule="exact"/>
              <w:jc w:val="center"/>
              <w:rPr>
                <w:rFonts w:ascii="宋体" w:hAnsi="宋体" w:eastAsia="宋体"/>
                <w:sz w:val="21"/>
                <w:szCs w:val="21"/>
                <w:highlight w:val="none"/>
              </w:rPr>
            </w:pPr>
            <w:r>
              <w:rPr>
                <w:rFonts w:hint="eastAsia" w:ascii="宋体" w:hAnsi="宋体" w:eastAsia="宋体"/>
                <w:sz w:val="21"/>
                <w:szCs w:val="21"/>
                <w:highlight w:val="none"/>
                <w:lang w:val="en-US" w:eastAsia="zh-CN"/>
              </w:rPr>
              <w:t>10</w:t>
            </w:r>
            <w:r>
              <w:rPr>
                <w:rFonts w:hint="eastAsia" w:ascii="宋体" w:hAnsi="宋体" w:eastAsia="宋体"/>
                <w:sz w:val="21"/>
                <w:szCs w:val="21"/>
                <w:highlight w:val="none"/>
              </w:rPr>
              <w:t>分</w:t>
            </w:r>
          </w:p>
        </w:tc>
        <w:tc>
          <w:tcPr>
            <w:tcW w:w="6307" w:type="dxa"/>
            <w:vAlign w:val="center"/>
          </w:tcPr>
          <w:p w14:paraId="1DEFA710">
            <w:pPr>
              <w:spacing w:line="320" w:lineRule="exact"/>
              <w:rPr>
                <w:rFonts w:ascii="宋体" w:hAnsi="宋体" w:eastAsia="宋体" w:cs="宋体"/>
                <w:sz w:val="21"/>
                <w:szCs w:val="21"/>
                <w:highlight w:val="none"/>
              </w:rPr>
            </w:pP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人针对本项目提出的售后服务方案，</w:t>
            </w:r>
            <w:r>
              <w:rPr>
                <w:rFonts w:hint="eastAsia" w:ascii="宋体" w:hAnsi="宋体" w:eastAsia="宋体" w:cs="宋体"/>
                <w:sz w:val="21"/>
                <w:szCs w:val="21"/>
                <w:highlight w:val="none"/>
                <w:lang w:val="en-US" w:eastAsia="zh-CN"/>
              </w:rPr>
              <w:t>须包含或完全满足响应文件售后服务要求的全部内容，并在此基础上针对本项目制定售后服务方案，</w:t>
            </w:r>
            <w:r>
              <w:rPr>
                <w:rFonts w:hint="eastAsia" w:ascii="宋体" w:hAnsi="宋体" w:eastAsia="宋体" w:cs="宋体"/>
                <w:sz w:val="21"/>
                <w:szCs w:val="21"/>
                <w:highlight w:val="none"/>
              </w:rPr>
              <w:t>包括但不限于：个性化定制方案、技术升级方案、技术咨询方案等内容进行评审： 1.个性化定制方案与本项目需求的吻合度程度高，充分考虑采购人的需求，具有延展性的技术升级方案，技术咨询方案完全满足并优于采购人需求，详细清晰可行，得1</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rPr>
              <w:t>分； 2.个性化定制方案与本项目需求的吻合度程度低，基本考虑采购人的需求，技术升级方案的延展性低，技术咨询方案满足采购人需求，有一定的合理性和可行性，得</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分； 3.个性化定制方案与本项目需求的不吻合，未考虑采购人的需求，技术升级方案差，技术咨询方案简单，合理性和可行性差，得</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分； 4.未提供售后服务方案，得0分。</w:t>
            </w:r>
          </w:p>
        </w:tc>
        <w:tc>
          <w:tcPr>
            <w:tcW w:w="1231" w:type="dxa"/>
            <w:vAlign w:val="center"/>
          </w:tcPr>
          <w:p w14:paraId="1AD7E0A1">
            <w:pPr>
              <w:spacing w:line="440" w:lineRule="exact"/>
              <w:rPr>
                <w:rFonts w:ascii="宋体" w:hAnsi="宋体" w:eastAsia="宋体" w:cs="宋体"/>
                <w:sz w:val="21"/>
                <w:szCs w:val="21"/>
                <w:highlight w:val="none"/>
              </w:rPr>
            </w:pPr>
          </w:p>
        </w:tc>
      </w:tr>
      <w:tr w14:paraId="48E73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25" w:type="dxa"/>
            <w:vMerge w:val="continue"/>
            <w:vAlign w:val="center"/>
          </w:tcPr>
          <w:p w14:paraId="0C6A8E64">
            <w:pPr>
              <w:spacing w:line="320" w:lineRule="exact"/>
              <w:ind w:left="6" w:hanging="6"/>
              <w:jc w:val="center"/>
              <w:rPr>
                <w:rFonts w:ascii="宋体" w:hAnsi="宋体" w:eastAsia="宋体" w:cs="宋体"/>
                <w:sz w:val="21"/>
                <w:szCs w:val="21"/>
                <w:highlight w:val="none"/>
              </w:rPr>
            </w:pPr>
          </w:p>
        </w:tc>
        <w:tc>
          <w:tcPr>
            <w:tcW w:w="1117" w:type="dxa"/>
            <w:vAlign w:val="center"/>
          </w:tcPr>
          <w:p w14:paraId="7486E2B2">
            <w:pPr>
              <w:spacing w:line="320" w:lineRule="exact"/>
              <w:jc w:val="center"/>
              <w:rPr>
                <w:rFonts w:ascii="宋体" w:hAnsi="宋体" w:eastAsia="宋体"/>
                <w:sz w:val="21"/>
                <w:szCs w:val="21"/>
                <w:highlight w:val="none"/>
              </w:rPr>
            </w:pPr>
            <w:r>
              <w:rPr>
                <w:rFonts w:hint="eastAsia" w:ascii="宋体" w:hAnsi="宋体" w:eastAsia="宋体"/>
                <w:sz w:val="21"/>
                <w:szCs w:val="21"/>
                <w:highlight w:val="none"/>
                <w:lang w:val="en-US" w:eastAsia="zh-CN"/>
              </w:rPr>
              <w:t>免费售后服务期限</w:t>
            </w:r>
            <w:r>
              <w:rPr>
                <w:rFonts w:hint="eastAsia" w:ascii="宋体" w:hAnsi="宋体" w:eastAsia="宋体"/>
                <w:sz w:val="21"/>
                <w:szCs w:val="21"/>
                <w:highlight w:val="none"/>
              </w:rPr>
              <w:t xml:space="preserve"> </w:t>
            </w:r>
          </w:p>
        </w:tc>
        <w:tc>
          <w:tcPr>
            <w:tcW w:w="850" w:type="dxa"/>
            <w:vAlign w:val="center"/>
          </w:tcPr>
          <w:p w14:paraId="2323E07D">
            <w:pPr>
              <w:spacing w:line="320" w:lineRule="exact"/>
              <w:jc w:val="center"/>
              <w:rPr>
                <w:rFonts w:hint="default" w:ascii="宋体" w:hAnsi="宋体" w:eastAsia="宋体"/>
                <w:sz w:val="21"/>
                <w:szCs w:val="21"/>
                <w:highlight w:val="none"/>
                <w:lang w:val="en-US" w:eastAsia="zh-CN"/>
              </w:rPr>
            </w:pPr>
            <w:r>
              <w:rPr>
                <w:rFonts w:hint="eastAsia" w:ascii="宋体" w:hAnsi="宋体" w:eastAsia="宋体"/>
                <w:sz w:val="21"/>
                <w:szCs w:val="21"/>
                <w:highlight w:val="none"/>
                <w:lang w:val="en-US" w:eastAsia="zh-CN"/>
              </w:rPr>
              <w:t>4分</w:t>
            </w:r>
          </w:p>
        </w:tc>
        <w:tc>
          <w:tcPr>
            <w:tcW w:w="6307" w:type="dxa"/>
            <w:vAlign w:val="center"/>
          </w:tcPr>
          <w:p w14:paraId="4E4450FF">
            <w:pPr>
              <w:spacing w:line="320" w:lineRule="exact"/>
              <w:rPr>
                <w:rFonts w:ascii="宋体" w:hAnsi="宋体" w:eastAsia="宋体" w:cs="宋体"/>
                <w:sz w:val="21"/>
                <w:szCs w:val="21"/>
                <w:highlight w:val="none"/>
              </w:rPr>
            </w:pPr>
            <w:r>
              <w:rPr>
                <w:rFonts w:hint="eastAsia" w:ascii="宋体" w:hAnsi="宋体" w:eastAsia="宋体" w:cs="宋体"/>
                <w:sz w:val="21"/>
                <w:szCs w:val="21"/>
                <w:highlight w:val="none"/>
              </w:rPr>
              <w:t>在</w:t>
            </w:r>
            <w:r>
              <w:rPr>
                <w:rFonts w:hint="eastAsia" w:ascii="宋体" w:hAnsi="宋体" w:eastAsia="宋体" w:cs="宋体"/>
                <w:sz w:val="21"/>
                <w:szCs w:val="21"/>
                <w:highlight w:val="none"/>
                <w:lang w:val="en-US" w:eastAsia="zh-CN"/>
              </w:rPr>
              <w:t>体检系统验收并交付后，提供1</w:t>
            </w:r>
            <w:r>
              <w:rPr>
                <w:rFonts w:hint="eastAsia" w:ascii="宋体" w:hAnsi="宋体" w:eastAsia="宋体" w:cs="宋体"/>
                <w:sz w:val="21"/>
                <w:szCs w:val="21"/>
                <w:highlight w:val="none"/>
              </w:rPr>
              <w:t>年</w:t>
            </w:r>
            <w:r>
              <w:rPr>
                <w:rFonts w:hint="eastAsia" w:ascii="宋体" w:hAnsi="宋体" w:eastAsia="宋体" w:cs="宋体"/>
                <w:sz w:val="21"/>
                <w:szCs w:val="21"/>
                <w:highlight w:val="none"/>
                <w:lang w:val="en-US" w:eastAsia="zh-CN"/>
              </w:rPr>
              <w:t>免费的技术支持、维护及升级服务</w:t>
            </w:r>
            <w:r>
              <w:rPr>
                <w:rFonts w:hint="eastAsia" w:ascii="宋体" w:hAnsi="宋体" w:eastAsia="宋体" w:cs="宋体"/>
                <w:sz w:val="21"/>
                <w:szCs w:val="21"/>
                <w:highlight w:val="none"/>
              </w:rPr>
              <w:t>的基础上，每增加1年</w:t>
            </w:r>
            <w:r>
              <w:rPr>
                <w:rFonts w:hint="eastAsia" w:ascii="宋体" w:hAnsi="宋体" w:eastAsia="宋体" w:cs="宋体"/>
                <w:sz w:val="21"/>
                <w:szCs w:val="21"/>
                <w:highlight w:val="none"/>
                <w:lang w:val="en-US" w:eastAsia="zh-CN"/>
              </w:rPr>
              <w:t>免费的技术支持、维护及升级服务期限</w:t>
            </w:r>
            <w:r>
              <w:rPr>
                <w:rFonts w:hint="eastAsia" w:ascii="宋体" w:hAnsi="宋体" w:eastAsia="宋体" w:cs="宋体"/>
                <w:sz w:val="21"/>
                <w:szCs w:val="21"/>
                <w:highlight w:val="none"/>
              </w:rPr>
              <w:t>得2分，最高得</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分。</w:t>
            </w:r>
          </w:p>
          <w:p w14:paraId="29325DA1">
            <w:pPr>
              <w:spacing w:line="320" w:lineRule="exact"/>
              <w:rPr>
                <w:rFonts w:ascii="宋体" w:hAnsi="宋体" w:eastAsia="宋体" w:cs="宋体"/>
                <w:sz w:val="21"/>
                <w:szCs w:val="21"/>
                <w:highlight w:val="none"/>
              </w:rPr>
            </w:pPr>
            <w:r>
              <w:rPr>
                <w:rFonts w:hint="eastAsia" w:ascii="宋体" w:hAnsi="宋体" w:eastAsia="宋体" w:cs="宋体"/>
                <w:sz w:val="21"/>
                <w:szCs w:val="21"/>
                <w:highlight w:val="none"/>
              </w:rPr>
              <w:t>注：需提供售后服务承诺函，否则不得分。</w:t>
            </w:r>
          </w:p>
        </w:tc>
        <w:tc>
          <w:tcPr>
            <w:tcW w:w="1231" w:type="dxa"/>
            <w:vAlign w:val="center"/>
          </w:tcPr>
          <w:p w14:paraId="3F4D85E8">
            <w:pPr>
              <w:spacing w:line="440" w:lineRule="exact"/>
              <w:rPr>
                <w:rFonts w:ascii="宋体" w:hAnsi="宋体" w:eastAsia="宋体" w:cs="宋体"/>
                <w:sz w:val="21"/>
                <w:szCs w:val="21"/>
                <w:highlight w:val="none"/>
              </w:rPr>
            </w:pPr>
          </w:p>
        </w:tc>
      </w:tr>
      <w:tr w14:paraId="34C2B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25" w:type="dxa"/>
            <w:vMerge w:val="continue"/>
            <w:vAlign w:val="center"/>
          </w:tcPr>
          <w:p w14:paraId="765BF31F">
            <w:pPr>
              <w:spacing w:line="320" w:lineRule="exact"/>
              <w:ind w:left="6" w:hanging="6"/>
              <w:jc w:val="center"/>
              <w:rPr>
                <w:rFonts w:ascii="宋体" w:hAnsi="宋体" w:eastAsia="宋体" w:cs="宋体"/>
                <w:sz w:val="21"/>
                <w:szCs w:val="21"/>
                <w:highlight w:val="none"/>
              </w:rPr>
            </w:pPr>
          </w:p>
        </w:tc>
        <w:tc>
          <w:tcPr>
            <w:tcW w:w="1117" w:type="dxa"/>
            <w:vAlign w:val="center"/>
          </w:tcPr>
          <w:p w14:paraId="087D91B6">
            <w:pPr>
              <w:spacing w:line="320" w:lineRule="exact"/>
              <w:jc w:val="center"/>
              <w:rPr>
                <w:rFonts w:hint="eastAsia" w:ascii="宋体" w:hAnsi="宋体" w:eastAsia="宋体"/>
                <w:sz w:val="21"/>
                <w:szCs w:val="21"/>
                <w:highlight w:val="none"/>
                <w:lang w:eastAsia="zh-CN"/>
              </w:rPr>
            </w:pPr>
            <w:r>
              <w:rPr>
                <w:rFonts w:hint="eastAsia" w:ascii="宋体" w:hAnsi="宋体" w:eastAsia="宋体"/>
                <w:sz w:val="21"/>
                <w:szCs w:val="21"/>
                <w:highlight w:val="none"/>
                <w:lang w:val="en-US" w:eastAsia="zh-CN"/>
              </w:rPr>
              <w:t>知识产权</w:t>
            </w:r>
          </w:p>
        </w:tc>
        <w:tc>
          <w:tcPr>
            <w:tcW w:w="850" w:type="dxa"/>
            <w:vAlign w:val="center"/>
          </w:tcPr>
          <w:p w14:paraId="6BBF6FEB">
            <w:pPr>
              <w:spacing w:line="320" w:lineRule="exact"/>
              <w:jc w:val="center"/>
              <w:rPr>
                <w:rFonts w:hint="default" w:ascii="宋体" w:hAnsi="宋体" w:eastAsia="宋体"/>
                <w:sz w:val="21"/>
                <w:szCs w:val="21"/>
                <w:highlight w:val="none"/>
                <w:lang w:val="en-US" w:eastAsia="zh-CN"/>
              </w:rPr>
            </w:pPr>
            <w:r>
              <w:rPr>
                <w:rFonts w:hint="eastAsia" w:ascii="宋体" w:hAnsi="宋体" w:eastAsia="宋体"/>
                <w:sz w:val="21"/>
                <w:szCs w:val="21"/>
                <w:highlight w:val="none"/>
                <w:lang w:val="en-US" w:eastAsia="zh-CN"/>
              </w:rPr>
              <w:t>3分</w:t>
            </w:r>
          </w:p>
        </w:tc>
        <w:tc>
          <w:tcPr>
            <w:tcW w:w="6307" w:type="dxa"/>
            <w:vAlign w:val="center"/>
          </w:tcPr>
          <w:p w14:paraId="421EB101">
            <w:pPr>
              <w:spacing w:line="320" w:lineRule="exact"/>
              <w:rPr>
                <w:rFonts w:ascii="宋体" w:hAnsi="宋体" w:eastAsia="宋体" w:cs="宋体"/>
                <w:sz w:val="21"/>
                <w:szCs w:val="21"/>
                <w:highlight w:val="none"/>
              </w:rPr>
            </w:pPr>
            <w:r>
              <w:rPr>
                <w:rFonts w:hint="eastAsia" w:ascii="宋体" w:hAnsi="宋体" w:eastAsia="宋体" w:cs="宋体"/>
                <w:sz w:val="21"/>
                <w:szCs w:val="21"/>
                <w:highlight w:val="none"/>
                <w:lang w:val="en-US" w:eastAsia="zh-CN"/>
              </w:rPr>
              <w:t>响应</w:t>
            </w:r>
            <w:r>
              <w:rPr>
                <w:rFonts w:hint="eastAsia" w:ascii="宋体" w:hAnsi="宋体" w:eastAsia="宋体" w:cs="宋体"/>
                <w:sz w:val="21"/>
                <w:szCs w:val="21"/>
                <w:highlight w:val="none"/>
                <w:lang w:eastAsia="zh-CN"/>
              </w:rPr>
              <w:t>人具有体检信息管理软件著作权证书(即软件著作权证书名称含有“</w:t>
            </w:r>
            <w:r>
              <w:rPr>
                <w:rFonts w:hint="eastAsia" w:ascii="宋体" w:hAnsi="宋体" w:eastAsia="宋体" w:cs="宋体"/>
                <w:sz w:val="21"/>
                <w:szCs w:val="21"/>
                <w:highlight w:val="none"/>
                <w:lang w:val="en-US" w:eastAsia="zh-CN"/>
              </w:rPr>
              <w:t>体检信息管理</w:t>
            </w:r>
            <w:r>
              <w:rPr>
                <w:rFonts w:hint="eastAsia" w:ascii="宋体" w:hAnsi="宋体" w:eastAsia="宋体" w:cs="宋体"/>
                <w:sz w:val="21"/>
                <w:szCs w:val="21"/>
                <w:highlight w:val="none"/>
                <w:lang w:eastAsia="zh-CN"/>
              </w:rPr>
              <w:t>”或同等含义内容)，得</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eastAsia="zh-CN"/>
              </w:rPr>
              <w:t>分。【注:提供相应的《计算机软件著作权登记证》复印件并加盖投标人公章，未提供不得分。】</w:t>
            </w:r>
          </w:p>
        </w:tc>
        <w:tc>
          <w:tcPr>
            <w:tcW w:w="1231" w:type="dxa"/>
            <w:vAlign w:val="center"/>
          </w:tcPr>
          <w:p w14:paraId="5D51E58D">
            <w:pPr>
              <w:spacing w:line="440" w:lineRule="exact"/>
              <w:rPr>
                <w:rFonts w:ascii="宋体" w:hAnsi="宋体" w:eastAsia="宋体" w:cs="宋体"/>
                <w:sz w:val="21"/>
                <w:szCs w:val="21"/>
                <w:highlight w:val="none"/>
              </w:rPr>
            </w:pPr>
          </w:p>
        </w:tc>
      </w:tr>
      <w:tr w14:paraId="18118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25" w:type="dxa"/>
            <w:vMerge w:val="continue"/>
            <w:vAlign w:val="center"/>
          </w:tcPr>
          <w:p w14:paraId="271618EB">
            <w:pPr>
              <w:spacing w:line="320" w:lineRule="exact"/>
              <w:ind w:left="6" w:hanging="6"/>
              <w:jc w:val="center"/>
              <w:rPr>
                <w:rFonts w:ascii="宋体" w:hAnsi="宋体" w:eastAsia="宋体" w:cs="宋体"/>
                <w:sz w:val="21"/>
                <w:szCs w:val="21"/>
                <w:highlight w:val="none"/>
              </w:rPr>
            </w:pPr>
          </w:p>
        </w:tc>
        <w:tc>
          <w:tcPr>
            <w:tcW w:w="1117" w:type="dxa"/>
            <w:vAlign w:val="center"/>
          </w:tcPr>
          <w:p w14:paraId="506FA172">
            <w:pPr>
              <w:spacing w:line="320" w:lineRule="exact"/>
              <w:jc w:val="center"/>
              <w:rPr>
                <w:rFonts w:ascii="宋体" w:hAnsi="宋体" w:eastAsia="宋体"/>
                <w:sz w:val="21"/>
                <w:szCs w:val="21"/>
                <w:highlight w:val="none"/>
              </w:rPr>
            </w:pPr>
            <w:r>
              <w:rPr>
                <w:rFonts w:hint="eastAsia" w:ascii="宋体" w:hAnsi="宋体" w:eastAsia="宋体"/>
                <w:sz w:val="21"/>
                <w:szCs w:val="21"/>
                <w:highlight w:val="none"/>
              </w:rPr>
              <w:t>同类业绩</w:t>
            </w:r>
          </w:p>
        </w:tc>
        <w:tc>
          <w:tcPr>
            <w:tcW w:w="850" w:type="dxa"/>
            <w:vAlign w:val="center"/>
          </w:tcPr>
          <w:p w14:paraId="5960D824">
            <w:pPr>
              <w:spacing w:line="320" w:lineRule="exact"/>
              <w:jc w:val="center"/>
              <w:rPr>
                <w:rFonts w:hint="eastAsia" w:ascii="宋体" w:hAnsi="宋体" w:eastAsia="宋体"/>
                <w:sz w:val="21"/>
                <w:szCs w:val="21"/>
                <w:highlight w:val="none"/>
                <w:lang w:val="en-US" w:eastAsia="zh-CN"/>
              </w:rPr>
            </w:pPr>
            <w:r>
              <w:rPr>
                <w:rFonts w:hint="eastAsia" w:ascii="宋体" w:hAnsi="宋体" w:eastAsia="宋体"/>
                <w:sz w:val="21"/>
                <w:szCs w:val="21"/>
                <w:highlight w:val="none"/>
                <w:lang w:val="en-US" w:eastAsia="zh-CN"/>
              </w:rPr>
              <w:t>3分</w:t>
            </w:r>
          </w:p>
        </w:tc>
        <w:tc>
          <w:tcPr>
            <w:tcW w:w="6307" w:type="dxa"/>
            <w:vAlign w:val="center"/>
          </w:tcPr>
          <w:p w14:paraId="4E49336D">
            <w:pPr>
              <w:spacing w:line="320" w:lineRule="exact"/>
              <w:rPr>
                <w:rFonts w:ascii="宋体" w:hAnsi="宋体" w:eastAsia="宋体" w:cs="宋体"/>
                <w:sz w:val="21"/>
                <w:szCs w:val="21"/>
                <w:highlight w:val="none"/>
              </w:rPr>
            </w:pPr>
            <w:r>
              <w:rPr>
                <w:rFonts w:hint="eastAsia" w:ascii="宋体" w:hAnsi="宋体" w:eastAsia="宋体" w:cs="宋体"/>
                <w:sz w:val="21"/>
                <w:szCs w:val="21"/>
                <w:highlight w:val="none"/>
              </w:rPr>
              <w:t>2022年</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月1日至今（以合同签订时间为准），</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人承接过</w:t>
            </w:r>
            <w:r>
              <w:rPr>
                <w:rFonts w:hint="eastAsia" w:ascii="宋体" w:hAnsi="宋体" w:eastAsia="宋体" w:cs="宋体"/>
                <w:sz w:val="21"/>
                <w:szCs w:val="21"/>
                <w:highlight w:val="none"/>
                <w:lang w:val="en-US" w:eastAsia="zh-CN"/>
              </w:rPr>
              <w:t>体检系统</w:t>
            </w:r>
            <w:r>
              <w:rPr>
                <w:rFonts w:hint="eastAsia" w:ascii="宋体" w:hAnsi="宋体" w:eastAsia="宋体" w:cs="宋体"/>
                <w:sz w:val="21"/>
                <w:szCs w:val="21"/>
                <w:highlight w:val="none"/>
              </w:rPr>
              <w:t>类</w:t>
            </w:r>
            <w:r>
              <w:rPr>
                <w:rFonts w:hint="eastAsia" w:ascii="宋体" w:hAnsi="宋体" w:eastAsia="宋体" w:cs="宋体"/>
                <w:sz w:val="21"/>
                <w:szCs w:val="21"/>
                <w:highlight w:val="none"/>
                <w:lang w:val="en-US" w:eastAsia="zh-CN"/>
              </w:rPr>
              <w:t>信息</w:t>
            </w:r>
            <w:r>
              <w:rPr>
                <w:rFonts w:hint="eastAsia" w:ascii="宋体" w:hAnsi="宋体" w:eastAsia="宋体" w:cs="宋体"/>
                <w:sz w:val="21"/>
                <w:szCs w:val="21"/>
                <w:highlight w:val="none"/>
              </w:rPr>
              <w:t>项目的，每提供一个得</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分，最高得</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 xml:space="preserve">分。 </w:t>
            </w:r>
          </w:p>
          <w:p w14:paraId="6760666B">
            <w:pPr>
              <w:spacing w:line="320" w:lineRule="exact"/>
              <w:rPr>
                <w:rFonts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注：须提供合同关键页（包括但不限于签订合同双方的单位名称、合同项目名称、签订合同双方的落款盖章、签订日期的关键页）复印件并加盖公章，未提供不得分。</w:t>
            </w:r>
            <w:r>
              <w:rPr>
                <w:rFonts w:hint="eastAsia" w:ascii="宋体" w:hAnsi="宋体" w:eastAsia="宋体" w:cs="宋体"/>
                <w:sz w:val="21"/>
                <w:szCs w:val="21"/>
                <w:highlight w:val="none"/>
                <w:lang w:eastAsia="zh-CN"/>
              </w:rPr>
              <w:t>】</w:t>
            </w:r>
          </w:p>
        </w:tc>
        <w:tc>
          <w:tcPr>
            <w:tcW w:w="1231" w:type="dxa"/>
            <w:vAlign w:val="center"/>
          </w:tcPr>
          <w:p w14:paraId="59FB2E89">
            <w:pPr>
              <w:spacing w:line="440" w:lineRule="exact"/>
              <w:rPr>
                <w:rFonts w:ascii="宋体" w:hAnsi="宋体" w:eastAsia="宋体" w:cs="宋体"/>
                <w:sz w:val="21"/>
                <w:szCs w:val="21"/>
                <w:highlight w:val="none"/>
              </w:rPr>
            </w:pPr>
          </w:p>
        </w:tc>
      </w:tr>
      <w:tr w14:paraId="32F24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925" w:type="dxa"/>
            <w:vMerge w:val="restart"/>
            <w:vAlign w:val="center"/>
          </w:tcPr>
          <w:p w14:paraId="37F59D65">
            <w:pPr>
              <w:spacing w:line="32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技术部分</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0分</w:t>
            </w:r>
          </w:p>
        </w:tc>
        <w:tc>
          <w:tcPr>
            <w:tcW w:w="1117" w:type="dxa"/>
            <w:vAlign w:val="center"/>
          </w:tcPr>
          <w:p w14:paraId="4A972CFE">
            <w:pPr>
              <w:spacing w:line="320" w:lineRule="exact"/>
              <w:jc w:val="center"/>
              <w:rPr>
                <w:rFonts w:ascii="宋体" w:hAnsi="宋体" w:eastAsia="宋体" w:cs="宋体"/>
                <w:sz w:val="21"/>
                <w:szCs w:val="21"/>
                <w:highlight w:val="none"/>
              </w:rPr>
            </w:pPr>
            <w:r>
              <w:rPr>
                <w:rFonts w:hint="eastAsia" w:ascii="宋体" w:hAnsi="宋体" w:eastAsia="宋体"/>
                <w:sz w:val="21"/>
                <w:szCs w:val="21"/>
                <w:highlight w:val="none"/>
              </w:rPr>
              <w:t>技术响应程度</w:t>
            </w:r>
          </w:p>
        </w:tc>
        <w:tc>
          <w:tcPr>
            <w:tcW w:w="850" w:type="dxa"/>
            <w:vAlign w:val="center"/>
          </w:tcPr>
          <w:p w14:paraId="133A5458">
            <w:pPr>
              <w:spacing w:line="32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25分</w:t>
            </w:r>
          </w:p>
        </w:tc>
        <w:tc>
          <w:tcPr>
            <w:tcW w:w="6307" w:type="dxa"/>
            <w:shd w:val="clear" w:color="auto" w:fill="auto"/>
            <w:vAlign w:val="center"/>
          </w:tcPr>
          <w:p w14:paraId="2F6D6B3A">
            <w:pPr>
              <w:spacing w:line="320" w:lineRule="exact"/>
              <w:rPr>
                <w:rFonts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根据</w:t>
            </w:r>
            <w:r>
              <w:rPr>
                <w:rFonts w:hint="eastAsia" w:ascii="宋体" w:hAnsi="宋体" w:eastAsia="宋体" w:cs="宋体"/>
                <w:sz w:val="21"/>
                <w:szCs w:val="21"/>
                <w:highlight w:val="none"/>
                <w:lang w:val="en-US" w:eastAsia="zh-CN"/>
              </w:rPr>
              <w:t>响应人响应</w:t>
            </w:r>
            <w:r>
              <w:rPr>
                <w:rFonts w:hint="eastAsia" w:ascii="宋体" w:hAnsi="宋体" w:eastAsia="宋体" w:cs="宋体"/>
                <w:sz w:val="21"/>
                <w:szCs w:val="21"/>
                <w:highlight w:val="none"/>
              </w:rPr>
              <w:t>文件中技术参数的响应程度进行评分： 1、本项目技术要求中带“▲”的重要技术参数条款（</w:t>
            </w:r>
            <w:r>
              <w:rPr>
                <w:rFonts w:hint="eastAsia" w:ascii="宋体" w:hAnsi="宋体" w:eastAsia="宋体" w:cs="宋体"/>
                <w:sz w:val="21"/>
                <w:szCs w:val="21"/>
                <w:highlight w:val="none"/>
                <w:lang w:val="en-US" w:eastAsia="zh-CN"/>
              </w:rPr>
              <w:t>12</w:t>
            </w:r>
            <w:r>
              <w:rPr>
                <w:rFonts w:hint="eastAsia" w:ascii="宋体" w:hAnsi="宋体" w:eastAsia="宋体" w:cs="宋体"/>
                <w:sz w:val="21"/>
                <w:szCs w:val="21"/>
                <w:highlight w:val="none"/>
              </w:rPr>
              <w:t>项）无负偏离的得</w:t>
            </w:r>
            <w:r>
              <w:rPr>
                <w:rFonts w:hint="eastAsia" w:ascii="宋体" w:hAnsi="宋体" w:eastAsia="宋体" w:cs="宋体"/>
                <w:sz w:val="21"/>
                <w:szCs w:val="21"/>
                <w:highlight w:val="none"/>
                <w:lang w:val="en-US" w:eastAsia="zh-CN"/>
              </w:rPr>
              <w:t>12</w:t>
            </w:r>
            <w:r>
              <w:rPr>
                <w:rFonts w:hint="eastAsia" w:ascii="宋体" w:hAnsi="宋体" w:eastAsia="宋体" w:cs="宋体"/>
                <w:sz w:val="21"/>
                <w:szCs w:val="21"/>
                <w:highlight w:val="none"/>
              </w:rPr>
              <w:t>分；每偏离1项扣</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分，扣完为止。 2、本项目技术要求中非“▲”的为一般技术参数，无负偏离的得</w:t>
            </w:r>
            <w:r>
              <w:rPr>
                <w:rFonts w:hint="eastAsia" w:ascii="宋体" w:hAnsi="宋体" w:eastAsia="宋体" w:cs="宋体"/>
                <w:sz w:val="21"/>
                <w:szCs w:val="21"/>
                <w:highlight w:val="none"/>
                <w:lang w:val="en-US" w:eastAsia="zh-CN"/>
              </w:rPr>
              <w:t>13</w:t>
            </w:r>
            <w:r>
              <w:rPr>
                <w:rFonts w:hint="eastAsia" w:ascii="宋体" w:hAnsi="宋体" w:eastAsia="宋体" w:cs="宋体"/>
                <w:sz w:val="21"/>
                <w:szCs w:val="21"/>
                <w:highlight w:val="none"/>
              </w:rPr>
              <w:t>分；每偏离1项扣</w:t>
            </w:r>
            <w:r>
              <w:rPr>
                <w:rFonts w:hint="eastAsia" w:ascii="宋体" w:hAnsi="宋体" w:eastAsia="宋体" w:cs="宋体"/>
                <w:sz w:val="21"/>
                <w:szCs w:val="21"/>
                <w:highlight w:val="none"/>
                <w:lang w:val="en-US" w:eastAsia="zh-CN"/>
              </w:rPr>
              <w:t>0.5</w:t>
            </w:r>
            <w:r>
              <w:rPr>
                <w:rFonts w:hint="eastAsia" w:ascii="宋体" w:hAnsi="宋体" w:eastAsia="宋体" w:cs="宋体"/>
                <w:sz w:val="21"/>
                <w:szCs w:val="21"/>
                <w:highlight w:val="none"/>
              </w:rPr>
              <w:t>分，扣完为止。</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注：带“▲”的条款技术响应需提供</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人加盖公章的证明资料，否则不得分。</w:t>
            </w:r>
            <w:r>
              <w:rPr>
                <w:rFonts w:hint="eastAsia" w:ascii="宋体" w:hAnsi="宋体" w:eastAsia="宋体" w:cs="宋体"/>
                <w:sz w:val="21"/>
                <w:szCs w:val="21"/>
                <w:highlight w:val="none"/>
                <w:lang w:eastAsia="zh-CN"/>
              </w:rPr>
              <w:t>】</w:t>
            </w:r>
          </w:p>
        </w:tc>
        <w:tc>
          <w:tcPr>
            <w:tcW w:w="1231" w:type="dxa"/>
            <w:vAlign w:val="center"/>
          </w:tcPr>
          <w:p w14:paraId="41AF8193">
            <w:pPr>
              <w:spacing w:line="440" w:lineRule="exact"/>
              <w:rPr>
                <w:rFonts w:ascii="宋体" w:hAnsi="宋体" w:eastAsia="宋体" w:cs="宋体"/>
                <w:sz w:val="21"/>
                <w:szCs w:val="21"/>
                <w:highlight w:val="none"/>
              </w:rPr>
            </w:pPr>
          </w:p>
        </w:tc>
      </w:tr>
      <w:tr w14:paraId="288D0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925" w:type="dxa"/>
            <w:vMerge w:val="continue"/>
            <w:vAlign w:val="center"/>
          </w:tcPr>
          <w:p w14:paraId="76A9D183">
            <w:pPr>
              <w:spacing w:line="320" w:lineRule="exact"/>
              <w:jc w:val="center"/>
              <w:rPr>
                <w:rFonts w:ascii="宋体" w:hAnsi="宋体" w:eastAsia="宋体" w:cs="宋体"/>
                <w:sz w:val="21"/>
                <w:szCs w:val="21"/>
                <w:highlight w:val="none"/>
              </w:rPr>
            </w:pPr>
          </w:p>
        </w:tc>
        <w:tc>
          <w:tcPr>
            <w:tcW w:w="1117" w:type="dxa"/>
            <w:vAlign w:val="center"/>
          </w:tcPr>
          <w:p w14:paraId="71327A53">
            <w:pPr>
              <w:spacing w:line="320" w:lineRule="exact"/>
              <w:jc w:val="center"/>
              <w:rPr>
                <w:rFonts w:ascii="宋体" w:hAnsi="宋体" w:eastAsia="宋体" w:cs="宋体"/>
                <w:sz w:val="21"/>
                <w:szCs w:val="21"/>
                <w:highlight w:val="none"/>
              </w:rPr>
            </w:pPr>
            <w:r>
              <w:rPr>
                <w:rFonts w:hint="eastAsia" w:ascii="宋体" w:hAnsi="宋体" w:eastAsia="宋体" w:cs="宋体"/>
                <w:sz w:val="21"/>
                <w:szCs w:val="21"/>
                <w:highlight w:val="none"/>
                <w:lang w:val="en-US" w:eastAsia="zh-CN"/>
              </w:rPr>
              <w:t>技术</w:t>
            </w:r>
            <w:r>
              <w:rPr>
                <w:rFonts w:hint="eastAsia" w:ascii="宋体" w:hAnsi="宋体" w:eastAsia="宋体" w:cs="宋体"/>
                <w:sz w:val="21"/>
                <w:szCs w:val="21"/>
                <w:highlight w:val="none"/>
              </w:rPr>
              <w:t>方案</w:t>
            </w:r>
          </w:p>
        </w:tc>
        <w:tc>
          <w:tcPr>
            <w:tcW w:w="850" w:type="dxa"/>
            <w:vAlign w:val="center"/>
          </w:tcPr>
          <w:p w14:paraId="7A0CDC46">
            <w:pPr>
              <w:spacing w:line="32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10分</w:t>
            </w:r>
          </w:p>
        </w:tc>
        <w:tc>
          <w:tcPr>
            <w:tcW w:w="6307" w:type="dxa"/>
            <w:vAlign w:val="center"/>
          </w:tcPr>
          <w:p w14:paraId="46880814">
            <w:pPr>
              <w:widowControl/>
              <w:jc w:val="left"/>
              <w:rPr>
                <w:rFonts w:ascii="宋体" w:hAnsi="宋体" w:eastAsia="宋体" w:cs="宋体"/>
                <w:sz w:val="21"/>
                <w:szCs w:val="21"/>
                <w:highlight w:val="none"/>
              </w:rPr>
            </w:pP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人针对本项目提出的技术方案，包括但不限于：系统测试、系统安装、接口对接方案等内容进行评审： 1.具有完整且技术性的系统测试和系统安装流程，接口对接方案设计完善可行、安全，得8分； 2.有提供系统测试和系统安装流程，具有一定的可行性，有一定的技术性，接口对接方案基本可行，有一定的安全性，得6分； 3.系统测试和系统安装流程简单，接口对接方案偏离采购人需求，可行性低，得4分； 4.技术方案内容无法满足采购人需求，不具技术性和可行性，得2分； 5.未提供项目技术方案，得0分。</w:t>
            </w:r>
          </w:p>
        </w:tc>
        <w:tc>
          <w:tcPr>
            <w:tcW w:w="1231" w:type="dxa"/>
            <w:vAlign w:val="center"/>
          </w:tcPr>
          <w:p w14:paraId="1F591A25">
            <w:pPr>
              <w:spacing w:line="440" w:lineRule="exact"/>
              <w:rPr>
                <w:rFonts w:ascii="宋体" w:hAnsi="宋体" w:eastAsia="宋体" w:cs="宋体"/>
                <w:sz w:val="21"/>
                <w:szCs w:val="21"/>
                <w:highlight w:val="none"/>
              </w:rPr>
            </w:pPr>
          </w:p>
        </w:tc>
      </w:tr>
      <w:tr w14:paraId="2DAF9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925" w:type="dxa"/>
            <w:vMerge w:val="continue"/>
            <w:vAlign w:val="center"/>
          </w:tcPr>
          <w:p w14:paraId="2D4472AD">
            <w:pPr>
              <w:spacing w:line="320" w:lineRule="exact"/>
              <w:jc w:val="center"/>
              <w:rPr>
                <w:rFonts w:ascii="宋体" w:hAnsi="宋体" w:eastAsia="宋体" w:cs="宋体"/>
                <w:sz w:val="21"/>
                <w:szCs w:val="21"/>
                <w:highlight w:val="none"/>
              </w:rPr>
            </w:pPr>
          </w:p>
        </w:tc>
        <w:tc>
          <w:tcPr>
            <w:tcW w:w="1117" w:type="dxa"/>
            <w:vAlign w:val="center"/>
          </w:tcPr>
          <w:p w14:paraId="063D6A77">
            <w:pPr>
              <w:spacing w:line="32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实施方案</w:t>
            </w:r>
          </w:p>
        </w:tc>
        <w:tc>
          <w:tcPr>
            <w:tcW w:w="850" w:type="dxa"/>
            <w:vAlign w:val="center"/>
          </w:tcPr>
          <w:p w14:paraId="63C5C714">
            <w:pPr>
              <w:spacing w:line="320" w:lineRule="exact"/>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10分</w:t>
            </w:r>
          </w:p>
        </w:tc>
        <w:tc>
          <w:tcPr>
            <w:tcW w:w="6307" w:type="dxa"/>
            <w:vAlign w:val="center"/>
          </w:tcPr>
          <w:p w14:paraId="5DAA2399">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人针对本项目提出的实施方案，包括但不限于：项目实施进度计划、系统安全体系、系统的应急预案等内容进行评审： 1.实施方案完整、合理，实施进度计划合理，系统安全体系完善得当，具有强有力的应急预案，得7分； 2.实施方案内容欠缺，实施进度计划合理性低，系统安全体系有欠缺，应急预案不强，得3分； 3.实施方案内容简单，实施进度计划不合理，系统安全体系差，应急预案差，得1分； 4.未提供实施方案，得0分。</w:t>
            </w:r>
          </w:p>
        </w:tc>
        <w:tc>
          <w:tcPr>
            <w:tcW w:w="1231" w:type="dxa"/>
            <w:vAlign w:val="center"/>
          </w:tcPr>
          <w:p w14:paraId="3B558C62">
            <w:pPr>
              <w:spacing w:line="440" w:lineRule="exact"/>
              <w:rPr>
                <w:rFonts w:ascii="宋体" w:hAnsi="宋体" w:eastAsia="宋体" w:cs="宋体"/>
                <w:sz w:val="21"/>
                <w:szCs w:val="21"/>
                <w:highlight w:val="none"/>
              </w:rPr>
            </w:pPr>
          </w:p>
        </w:tc>
      </w:tr>
      <w:tr w14:paraId="3B113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925" w:type="dxa"/>
            <w:vMerge w:val="continue"/>
            <w:vAlign w:val="center"/>
          </w:tcPr>
          <w:p w14:paraId="4F6B67CA">
            <w:pPr>
              <w:spacing w:line="320" w:lineRule="exact"/>
              <w:jc w:val="center"/>
              <w:rPr>
                <w:rFonts w:ascii="宋体" w:hAnsi="宋体" w:eastAsia="宋体" w:cs="宋体"/>
                <w:sz w:val="21"/>
                <w:szCs w:val="21"/>
                <w:highlight w:val="none"/>
              </w:rPr>
            </w:pPr>
          </w:p>
        </w:tc>
        <w:tc>
          <w:tcPr>
            <w:tcW w:w="1117" w:type="dxa"/>
            <w:vAlign w:val="center"/>
          </w:tcPr>
          <w:p w14:paraId="658E52F0">
            <w:pPr>
              <w:spacing w:line="320" w:lineRule="exact"/>
              <w:jc w:val="center"/>
              <w:rPr>
                <w:rFonts w:ascii="宋体" w:hAnsi="宋体" w:eastAsia="宋体" w:cs="宋体"/>
                <w:sz w:val="21"/>
                <w:szCs w:val="21"/>
                <w:highlight w:val="none"/>
              </w:rPr>
            </w:pPr>
            <w:r>
              <w:rPr>
                <w:rFonts w:hint="eastAsia" w:ascii="宋体" w:hAnsi="宋体" w:eastAsia="宋体"/>
                <w:sz w:val="21"/>
                <w:szCs w:val="21"/>
                <w:highlight w:val="none"/>
              </w:rPr>
              <w:t>培训计划方案</w:t>
            </w:r>
          </w:p>
        </w:tc>
        <w:tc>
          <w:tcPr>
            <w:tcW w:w="850" w:type="dxa"/>
            <w:vAlign w:val="center"/>
          </w:tcPr>
          <w:p w14:paraId="1D01C2E9">
            <w:pPr>
              <w:spacing w:line="32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5</w:t>
            </w:r>
            <w:r>
              <w:rPr>
                <w:rFonts w:hint="eastAsia" w:ascii="宋体" w:hAnsi="宋体" w:eastAsia="宋体" w:cs="宋体"/>
                <w:sz w:val="21"/>
                <w:szCs w:val="21"/>
                <w:highlight w:val="none"/>
                <w:lang w:val="en-US" w:eastAsia="zh-CN"/>
              </w:rPr>
              <w:t>分</w:t>
            </w:r>
          </w:p>
        </w:tc>
        <w:tc>
          <w:tcPr>
            <w:tcW w:w="6307" w:type="dxa"/>
            <w:vAlign w:val="center"/>
          </w:tcPr>
          <w:p w14:paraId="49A68A04">
            <w:pPr>
              <w:widowControl/>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根据</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人提供的培训计划方案（包括但不限于培训计划、培训时间、培训内容等）进行评价： 1、培训计划方案科学详细具体，合理性强，可行性高，完全符合或优于用户需求得10分； 2、培训计划方案科学详细具体，但合理性及可行性一般，基本符合用户需求得7分； 3、培训计划方案简单，且合理性及可行性一般，部分符合用户需求得4分； 4、培训计划方案简单，且合理及可行性差，不能符合用户需求得1分。 （无提供不得分</w:t>
            </w:r>
            <w:r>
              <w:rPr>
                <w:rFonts w:hint="eastAsia" w:ascii="宋体" w:hAnsi="宋体" w:eastAsia="宋体" w:cs="宋体"/>
                <w:sz w:val="21"/>
                <w:szCs w:val="21"/>
                <w:highlight w:val="none"/>
                <w:lang w:eastAsia="zh-CN"/>
              </w:rPr>
              <w:t>）</w:t>
            </w:r>
          </w:p>
        </w:tc>
        <w:tc>
          <w:tcPr>
            <w:tcW w:w="1231" w:type="dxa"/>
            <w:vAlign w:val="center"/>
          </w:tcPr>
          <w:p w14:paraId="02F316A3">
            <w:pPr>
              <w:spacing w:line="440" w:lineRule="exact"/>
              <w:rPr>
                <w:rFonts w:ascii="宋体" w:hAnsi="宋体" w:eastAsia="宋体" w:cs="宋体"/>
                <w:sz w:val="21"/>
                <w:szCs w:val="21"/>
                <w:highlight w:val="none"/>
              </w:rPr>
            </w:pPr>
          </w:p>
        </w:tc>
      </w:tr>
      <w:tr w14:paraId="57F47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925" w:type="dxa"/>
            <w:vAlign w:val="center"/>
          </w:tcPr>
          <w:p w14:paraId="30A35D65">
            <w:pPr>
              <w:spacing w:line="320" w:lineRule="exact"/>
              <w:ind w:left="6" w:hanging="6"/>
              <w:jc w:val="center"/>
              <w:rPr>
                <w:rFonts w:ascii="宋体" w:hAnsi="宋体" w:eastAsia="宋体" w:cs="宋体"/>
                <w:sz w:val="21"/>
                <w:szCs w:val="21"/>
                <w:highlight w:val="none"/>
              </w:rPr>
            </w:pPr>
            <w:r>
              <w:rPr>
                <w:rFonts w:hint="eastAsia" w:ascii="宋体" w:hAnsi="宋体" w:eastAsia="宋体" w:cs="宋体"/>
                <w:sz w:val="21"/>
                <w:szCs w:val="21"/>
                <w:highlight w:val="none"/>
              </w:rPr>
              <w:t>报价部分</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0分</w:t>
            </w:r>
          </w:p>
        </w:tc>
        <w:tc>
          <w:tcPr>
            <w:tcW w:w="1117" w:type="dxa"/>
            <w:vAlign w:val="center"/>
          </w:tcPr>
          <w:p w14:paraId="31EA15D6">
            <w:pPr>
              <w:spacing w:line="32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项目    总报价</w:t>
            </w:r>
          </w:p>
        </w:tc>
        <w:tc>
          <w:tcPr>
            <w:tcW w:w="850" w:type="dxa"/>
            <w:vAlign w:val="center"/>
          </w:tcPr>
          <w:p w14:paraId="02541214">
            <w:pPr>
              <w:spacing w:line="320" w:lineRule="exact"/>
              <w:jc w:val="center"/>
              <w:rPr>
                <w:rFonts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0分</w:t>
            </w:r>
          </w:p>
        </w:tc>
        <w:tc>
          <w:tcPr>
            <w:tcW w:w="6307" w:type="dxa"/>
            <w:vAlign w:val="center"/>
          </w:tcPr>
          <w:p w14:paraId="2259B265">
            <w:pPr>
              <w:spacing w:line="320" w:lineRule="exact"/>
              <w:ind w:right="150" w:rightChars="50"/>
              <w:rPr>
                <w:rFonts w:ascii="宋体" w:hAnsi="宋体" w:eastAsia="宋体"/>
                <w:sz w:val="21"/>
                <w:szCs w:val="21"/>
                <w:highlight w:val="none"/>
              </w:rPr>
            </w:pPr>
            <w:r>
              <w:rPr>
                <w:rFonts w:hint="eastAsia" w:ascii="宋体" w:hAnsi="宋体" w:eastAsia="宋体"/>
                <w:sz w:val="21"/>
                <w:szCs w:val="21"/>
                <w:highlight w:val="none"/>
              </w:rPr>
              <w:t>响应报价最后得分＝P/T×</w:t>
            </w:r>
            <w:r>
              <w:rPr>
                <w:rFonts w:hint="eastAsia" w:ascii="宋体" w:hAnsi="宋体" w:eastAsia="宋体"/>
                <w:sz w:val="21"/>
                <w:szCs w:val="21"/>
                <w:highlight w:val="none"/>
                <w:lang w:val="en-US" w:eastAsia="zh-CN"/>
              </w:rPr>
              <w:t>3</w:t>
            </w:r>
            <w:r>
              <w:rPr>
                <w:rFonts w:hint="eastAsia" w:ascii="宋体" w:hAnsi="宋体" w:eastAsia="宋体"/>
                <w:sz w:val="21"/>
                <w:szCs w:val="21"/>
                <w:highlight w:val="none"/>
              </w:rPr>
              <w:t>0</w:t>
            </w:r>
          </w:p>
          <w:p w14:paraId="39DE8B39">
            <w:pPr>
              <w:spacing w:line="320" w:lineRule="exact"/>
              <w:ind w:right="150" w:rightChars="50"/>
              <w:rPr>
                <w:rFonts w:ascii="宋体" w:hAnsi="宋体" w:eastAsia="宋体"/>
                <w:sz w:val="21"/>
                <w:szCs w:val="21"/>
                <w:highlight w:val="none"/>
              </w:rPr>
            </w:pPr>
            <w:r>
              <w:rPr>
                <w:rFonts w:hint="eastAsia" w:ascii="宋体" w:hAnsi="宋体" w:eastAsia="宋体"/>
                <w:sz w:val="21"/>
                <w:szCs w:val="21"/>
                <w:highlight w:val="none"/>
              </w:rPr>
              <w:t>其中P为有效响应人响应总报价的最低价，T为各响应人的响应文件总报价。</w:t>
            </w:r>
          </w:p>
        </w:tc>
        <w:tc>
          <w:tcPr>
            <w:tcW w:w="1231" w:type="dxa"/>
            <w:vAlign w:val="center"/>
          </w:tcPr>
          <w:p w14:paraId="178DDE7D">
            <w:pPr>
              <w:spacing w:line="440" w:lineRule="exact"/>
              <w:rPr>
                <w:rFonts w:ascii="宋体" w:hAnsi="宋体" w:eastAsia="宋体" w:cs="宋体"/>
                <w:sz w:val="21"/>
                <w:szCs w:val="21"/>
                <w:highlight w:val="none"/>
              </w:rPr>
            </w:pPr>
          </w:p>
        </w:tc>
      </w:tr>
    </w:tbl>
    <w:p w14:paraId="1150563B">
      <w:pPr>
        <w:spacing w:line="320" w:lineRule="exact"/>
        <w:rPr>
          <w:rFonts w:ascii="宋体" w:hAnsi="宋体" w:eastAsia="宋体" w:cs="宋体"/>
          <w:sz w:val="21"/>
          <w:szCs w:val="21"/>
          <w:highlight w:val="none"/>
        </w:rPr>
      </w:pPr>
      <w:r>
        <w:rPr>
          <w:rFonts w:hint="eastAsia" w:ascii="宋体" w:hAnsi="宋体" w:eastAsia="宋体" w:cs="宋体"/>
          <w:sz w:val="21"/>
          <w:szCs w:val="21"/>
          <w:highlight w:val="none"/>
          <w:lang w:val="zh-TW" w:eastAsia="zh-TW"/>
        </w:rPr>
        <w:t>注：</w:t>
      </w:r>
      <w:r>
        <w:rPr>
          <w:rFonts w:hint="eastAsia" w:ascii="宋体" w:hAnsi="宋体" w:eastAsia="宋体" w:cs="宋体"/>
          <w:sz w:val="21"/>
          <w:szCs w:val="21"/>
          <w:highlight w:val="none"/>
        </w:rPr>
        <w:t>①</w:t>
      </w:r>
      <w:r>
        <w:rPr>
          <w:rFonts w:hint="eastAsia" w:ascii="宋体" w:hAnsi="宋体" w:eastAsia="宋体" w:cs="宋体"/>
          <w:sz w:val="21"/>
          <w:szCs w:val="21"/>
          <w:highlight w:val="none"/>
          <w:lang w:val="zh-TW" w:eastAsia="zh-TW"/>
        </w:rPr>
        <w:t>以上各评分项，若有缺项则该项不得</w:t>
      </w:r>
      <w:r>
        <w:rPr>
          <w:rFonts w:hint="eastAsia" w:ascii="宋体" w:hAnsi="宋体" w:eastAsia="宋体" w:cs="宋体"/>
          <w:sz w:val="21"/>
          <w:szCs w:val="21"/>
          <w:highlight w:val="none"/>
          <w:lang w:val="zh-TW"/>
        </w:rPr>
        <w:t>分。</w:t>
      </w:r>
    </w:p>
    <w:p w14:paraId="30CDAADC">
      <w:pPr>
        <w:autoSpaceDE w:val="0"/>
        <w:autoSpaceDN w:val="0"/>
        <w:adjustRightInd w:val="0"/>
        <w:spacing w:line="320" w:lineRule="exact"/>
        <w:ind w:firstLine="420"/>
        <w:rPr>
          <w:rFonts w:ascii="宋体" w:hAnsi="宋体" w:eastAsia="宋体" w:cs="宋体"/>
          <w:sz w:val="21"/>
          <w:szCs w:val="21"/>
          <w:highlight w:val="none"/>
          <w:lang w:val="zh-TW"/>
        </w:rPr>
      </w:pPr>
      <w:r>
        <w:rPr>
          <w:rFonts w:hint="eastAsia" w:ascii="宋体" w:hAnsi="宋体" w:eastAsia="宋体" w:cs="宋体"/>
          <w:sz w:val="21"/>
          <w:szCs w:val="21"/>
          <w:highlight w:val="none"/>
        </w:rPr>
        <w:t>②</w:t>
      </w:r>
      <w:r>
        <w:rPr>
          <w:rFonts w:hint="eastAsia" w:ascii="宋体" w:hAnsi="宋体" w:eastAsia="宋体" w:cs="宋体"/>
          <w:sz w:val="21"/>
          <w:szCs w:val="21"/>
          <w:highlight w:val="none"/>
          <w:lang w:val="zh-TW" w:eastAsia="zh-TW"/>
        </w:rPr>
        <w:t>计分过程中按四舍五入的法则，最终结果取至小数点后</w:t>
      </w:r>
      <w:r>
        <w:rPr>
          <w:rFonts w:hint="eastAsia" w:ascii="宋体" w:hAnsi="宋体" w:eastAsia="宋体" w:cs="宋体"/>
          <w:sz w:val="21"/>
          <w:szCs w:val="21"/>
          <w:highlight w:val="none"/>
        </w:rPr>
        <w:t>2</w:t>
      </w:r>
      <w:r>
        <w:rPr>
          <w:rFonts w:hint="eastAsia" w:ascii="宋体" w:hAnsi="宋体" w:eastAsia="宋体" w:cs="宋体"/>
          <w:sz w:val="21"/>
          <w:szCs w:val="21"/>
          <w:highlight w:val="none"/>
          <w:lang w:val="zh-TW" w:eastAsia="zh-TW"/>
        </w:rPr>
        <w:t>位。</w:t>
      </w:r>
      <w:r>
        <w:rPr>
          <w:rFonts w:hint="eastAsia" w:ascii="宋体" w:hAnsi="宋体" w:eastAsia="宋体" w:cs="宋体"/>
          <w:kern w:val="0"/>
          <w:sz w:val="21"/>
          <w:szCs w:val="21"/>
          <w:highlight w:val="none"/>
        </w:rPr>
        <w:t>评审委员会对满足遴选文件实质性要求的遴选响应文件，按照遴选文件规定的评分标准进行打分。</w:t>
      </w:r>
    </w:p>
    <w:p w14:paraId="3B2E350A">
      <w:pPr>
        <w:tabs>
          <w:tab w:val="left" w:pos="1245"/>
        </w:tabs>
        <w:spacing w:line="360" w:lineRule="auto"/>
        <w:ind w:firstLine="422" w:firstLineChars="200"/>
        <w:outlineLvl w:val="2"/>
        <w:rPr>
          <w:rFonts w:eastAsia="宋体"/>
          <w:b/>
          <w:sz w:val="21"/>
          <w:szCs w:val="21"/>
          <w:highlight w:val="none"/>
          <w:lang w:eastAsia="zh-TW"/>
        </w:rPr>
      </w:pPr>
    </w:p>
    <w:p w14:paraId="20D6935B">
      <w:pPr>
        <w:pStyle w:val="23"/>
        <w:tabs>
          <w:tab w:val="left" w:pos="1365"/>
        </w:tabs>
        <w:spacing w:line="360" w:lineRule="auto"/>
        <w:outlineLvl w:val="1"/>
        <w:rPr>
          <w:rFonts w:ascii="Times New Roman" w:hAnsi="Times New Roman"/>
          <w:b/>
          <w:sz w:val="24"/>
          <w:szCs w:val="21"/>
          <w:highlight w:val="none"/>
        </w:rPr>
      </w:pPr>
      <w:bookmarkStart w:id="210" w:name="_Toc184723305"/>
      <w:r>
        <w:rPr>
          <w:rFonts w:hint="eastAsia" w:ascii="Times New Roman" w:hAnsi="Times New Roman"/>
          <w:b/>
          <w:sz w:val="24"/>
          <w:szCs w:val="21"/>
          <w:highlight w:val="none"/>
        </w:rPr>
        <w:t>三</w:t>
      </w:r>
      <w:r>
        <w:rPr>
          <w:rFonts w:ascii="Times New Roman" w:hAnsi="Times New Roman"/>
          <w:b/>
          <w:sz w:val="24"/>
          <w:szCs w:val="21"/>
          <w:highlight w:val="none"/>
        </w:rPr>
        <w:t>、</w:t>
      </w:r>
      <w:r>
        <w:rPr>
          <w:rFonts w:hint="eastAsia" w:ascii="Times New Roman" w:hAnsi="Times New Roman"/>
          <w:b/>
          <w:sz w:val="24"/>
          <w:szCs w:val="21"/>
          <w:highlight w:val="none"/>
        </w:rPr>
        <w:t>成交供应商的确定</w:t>
      </w:r>
      <w:bookmarkEnd w:id="210"/>
    </w:p>
    <w:p w14:paraId="207B6DDD">
      <w:pPr>
        <w:spacing w:line="360" w:lineRule="auto"/>
        <w:ind w:firstLine="480" w:firstLineChars="200"/>
        <w:rPr>
          <w:rFonts w:eastAsia="宋体"/>
          <w:sz w:val="24"/>
          <w:szCs w:val="21"/>
          <w:highlight w:val="none"/>
        </w:rPr>
      </w:pPr>
      <w:r>
        <w:rPr>
          <w:rFonts w:hint="eastAsia" w:eastAsia="宋体"/>
          <w:sz w:val="24"/>
          <w:szCs w:val="21"/>
          <w:highlight w:val="none"/>
        </w:rPr>
        <w:t>1</w:t>
      </w:r>
      <w:r>
        <w:rPr>
          <w:rFonts w:eastAsia="宋体"/>
          <w:sz w:val="24"/>
          <w:szCs w:val="21"/>
          <w:highlight w:val="none"/>
        </w:rPr>
        <w:t>.</w:t>
      </w:r>
      <w:r>
        <w:rPr>
          <w:rFonts w:hint="eastAsia" w:eastAsia="宋体"/>
          <w:sz w:val="24"/>
          <w:szCs w:val="21"/>
          <w:highlight w:val="none"/>
        </w:rPr>
        <w:t>推荐成交候选报价供应商名单：将各有效遴选供应商按其评审得分（由高到低）顺序排列并排名。</w:t>
      </w:r>
    </w:p>
    <w:p w14:paraId="4E9C93A4">
      <w:pPr>
        <w:spacing w:line="360" w:lineRule="auto"/>
        <w:ind w:firstLine="480" w:firstLineChars="200"/>
        <w:rPr>
          <w:rFonts w:eastAsia="宋体"/>
          <w:sz w:val="24"/>
          <w:szCs w:val="21"/>
          <w:highlight w:val="none"/>
        </w:rPr>
      </w:pPr>
      <w:r>
        <w:rPr>
          <w:rFonts w:hint="eastAsia" w:eastAsia="宋体"/>
          <w:sz w:val="24"/>
          <w:szCs w:val="21"/>
          <w:highlight w:val="none"/>
        </w:rPr>
        <w:t>2.评审得分最高（排名第一）的为中标供应商。评审得分相等时，以响应报价得分高的优先；响应报价得分也相等时，由技术部分得分高的优先；技术部分得分也相等时，则在开平市中医院内审监察委会员人员的监督下，随机抽取一家。</w:t>
      </w:r>
      <w:r>
        <w:rPr>
          <w:sz w:val="36"/>
          <w:szCs w:val="28"/>
          <w:highlight w:val="none"/>
        </w:rPr>
        <w:br w:type="page"/>
      </w:r>
    </w:p>
    <w:p w14:paraId="72B77943">
      <w:pPr>
        <w:pStyle w:val="2"/>
        <w:keepNext w:val="0"/>
        <w:keepLines w:val="0"/>
        <w:spacing w:before="0" w:after="0" w:line="360" w:lineRule="auto"/>
        <w:jc w:val="center"/>
        <w:rPr>
          <w:rFonts w:ascii="Times New Roman"/>
          <w:sz w:val="36"/>
          <w:szCs w:val="28"/>
          <w:highlight w:val="none"/>
        </w:rPr>
      </w:pPr>
      <w:bookmarkStart w:id="211" w:name="_Toc184723306"/>
      <w:r>
        <w:rPr>
          <w:rFonts w:ascii="Times New Roman"/>
          <w:sz w:val="36"/>
          <w:szCs w:val="28"/>
          <w:highlight w:val="none"/>
        </w:rPr>
        <w:t>第五部分</w:t>
      </w:r>
      <w:bookmarkEnd w:id="197"/>
      <w:bookmarkEnd w:id="198"/>
      <w:bookmarkEnd w:id="199"/>
      <w:bookmarkEnd w:id="200"/>
      <w:bookmarkEnd w:id="201"/>
      <w:bookmarkStart w:id="212" w:name="_Toc51756493"/>
      <w:bookmarkStart w:id="213" w:name="_Toc52027928"/>
      <w:bookmarkStart w:id="214" w:name="_Toc52021540"/>
      <w:bookmarkStart w:id="215" w:name="_Toc51939458"/>
      <w:bookmarkStart w:id="216" w:name="_Toc56353013"/>
      <w:bookmarkStart w:id="217" w:name="_Toc231028109"/>
      <w:r>
        <w:rPr>
          <w:rFonts w:hint="eastAsia" w:ascii="Times New Roman"/>
          <w:sz w:val="36"/>
          <w:szCs w:val="28"/>
          <w:highlight w:val="none"/>
        </w:rPr>
        <w:t xml:space="preserve"> 合同</w:t>
      </w:r>
      <w:r>
        <w:rPr>
          <w:rFonts w:ascii="Times New Roman"/>
          <w:sz w:val="36"/>
          <w:szCs w:val="28"/>
          <w:highlight w:val="none"/>
        </w:rPr>
        <w:t>书格式</w:t>
      </w:r>
      <w:bookmarkEnd w:id="211"/>
      <w:bookmarkEnd w:id="212"/>
      <w:bookmarkEnd w:id="213"/>
      <w:bookmarkEnd w:id="214"/>
      <w:bookmarkEnd w:id="215"/>
      <w:bookmarkEnd w:id="216"/>
      <w:bookmarkEnd w:id="217"/>
    </w:p>
    <w:p w14:paraId="1C6D2B0E">
      <w:pPr>
        <w:spacing w:line="360" w:lineRule="auto"/>
        <w:jc w:val="center"/>
        <w:outlineLvl w:val="1"/>
        <w:rPr>
          <w:rFonts w:ascii="宋体" w:hAnsi="宋体" w:eastAsia="宋体"/>
          <w:sz w:val="36"/>
          <w:highlight w:val="none"/>
        </w:rPr>
      </w:pPr>
      <w:bookmarkStart w:id="218" w:name="_Toc184723307"/>
      <w:r>
        <w:rPr>
          <w:rFonts w:hint="eastAsia" w:ascii="宋体" w:hAnsi="宋体" w:eastAsia="宋体"/>
          <w:b/>
          <w:bCs/>
          <w:sz w:val="36"/>
          <w:highlight w:val="none"/>
        </w:rPr>
        <w:t>（</w:t>
      </w:r>
      <w:r>
        <w:rPr>
          <w:rFonts w:hint="eastAsia" w:eastAsia="宋体"/>
          <w:b/>
          <w:kern w:val="44"/>
          <w:sz w:val="36"/>
          <w:szCs w:val="28"/>
          <w:highlight w:val="none"/>
        </w:rPr>
        <w:t>提供参考，具体内容由采购人及中选人协商制定）</w:t>
      </w:r>
      <w:bookmarkEnd w:id="218"/>
    </w:p>
    <w:bookmarkEnd w:id="202"/>
    <w:bookmarkEnd w:id="203"/>
    <w:bookmarkEnd w:id="204"/>
    <w:bookmarkEnd w:id="205"/>
    <w:bookmarkEnd w:id="206"/>
    <w:bookmarkEnd w:id="207"/>
    <w:p w14:paraId="49CF779B">
      <w:pPr>
        <w:jc w:val="center"/>
        <w:rPr>
          <w:b/>
          <w:bCs/>
          <w:sz w:val="44"/>
          <w:szCs w:val="44"/>
          <w:highlight w:val="none"/>
        </w:rPr>
      </w:pPr>
      <w:bookmarkStart w:id="219" w:name="_Toc463067548"/>
      <w:bookmarkStart w:id="220" w:name="_Toc130700696"/>
      <w:bookmarkStart w:id="221" w:name="_Toc463071379"/>
      <w:bookmarkStart w:id="222" w:name="_Toc206902161"/>
      <w:bookmarkStart w:id="223" w:name="_Toc465148449"/>
      <w:bookmarkStart w:id="224" w:name="_Toc68692538"/>
      <w:bookmarkStart w:id="225" w:name="_Toc179863374"/>
      <w:bookmarkStart w:id="226" w:name="_Toc463071832"/>
      <w:bookmarkStart w:id="227" w:name="_Toc525038118"/>
      <w:bookmarkStart w:id="228" w:name="_Toc130745579"/>
      <w:bookmarkStart w:id="229" w:name="_Toc52021542"/>
      <w:bookmarkStart w:id="230" w:name="_Toc51939472"/>
      <w:bookmarkStart w:id="231" w:name="_Toc56353015"/>
      <w:bookmarkStart w:id="232" w:name="_Toc52027930"/>
      <w:bookmarkStart w:id="233" w:name="_Toc51756507"/>
      <w:bookmarkStart w:id="234" w:name="_Toc486671571"/>
      <w:bookmarkStart w:id="235" w:name="_Toc458262637"/>
      <w:bookmarkStart w:id="236" w:name="_Toc467236767"/>
      <w:bookmarkStart w:id="237" w:name="_Toc476976199"/>
      <w:bookmarkStart w:id="238" w:name="_Toc454701404"/>
      <w:r>
        <w:rPr>
          <w:highlight w:val="none"/>
        </w:rPr>
        <w:br w:type="page"/>
      </w:r>
      <w:bookmarkStart w:id="239" w:name="OLE_LINK2"/>
      <w:bookmarkStart w:id="240" w:name="OLE_LINK3"/>
      <w:bookmarkStart w:id="241" w:name="_Toc78354640"/>
      <w:r>
        <w:rPr>
          <w:rFonts w:hint="eastAsia"/>
          <w:b/>
          <w:bCs/>
          <w:sz w:val="44"/>
          <w:szCs w:val="44"/>
          <w:highlight w:val="none"/>
        </w:rPr>
        <w:t>开平市中医院</w:t>
      </w:r>
      <w:r>
        <w:rPr>
          <w:rFonts w:hint="eastAsia"/>
          <w:b/>
          <w:bCs/>
          <w:sz w:val="44"/>
          <w:szCs w:val="44"/>
          <w:highlight w:val="none"/>
          <w:lang w:val="en-US" w:eastAsia="zh-CN"/>
        </w:rPr>
        <w:t>体检系统采购</w:t>
      </w:r>
      <w:r>
        <w:rPr>
          <w:rFonts w:hint="eastAsia"/>
          <w:b/>
          <w:bCs/>
          <w:sz w:val="44"/>
          <w:szCs w:val="44"/>
          <w:highlight w:val="none"/>
        </w:rPr>
        <w:t>项目</w:t>
      </w:r>
    </w:p>
    <w:p w14:paraId="4982DACD">
      <w:pPr>
        <w:jc w:val="center"/>
        <w:rPr>
          <w:b/>
          <w:bCs/>
          <w:sz w:val="44"/>
          <w:szCs w:val="44"/>
          <w:highlight w:val="none"/>
        </w:rPr>
      </w:pPr>
      <w:r>
        <w:rPr>
          <w:rFonts w:hint="eastAsia"/>
          <w:b/>
          <w:bCs/>
          <w:sz w:val="44"/>
          <w:szCs w:val="44"/>
          <w:highlight w:val="none"/>
        </w:rPr>
        <w:t>采购合同</w:t>
      </w:r>
    </w:p>
    <w:p w14:paraId="66A8110A">
      <w:pPr>
        <w:pStyle w:val="17"/>
        <w:jc w:val="center"/>
        <w:rPr>
          <w:b/>
          <w:sz w:val="44"/>
          <w:szCs w:val="44"/>
          <w:highlight w:val="none"/>
        </w:rPr>
      </w:pPr>
      <w:r>
        <w:rPr>
          <w:rFonts w:hint="eastAsia"/>
          <w:b/>
          <w:sz w:val="44"/>
          <w:szCs w:val="44"/>
          <w:highlight w:val="none"/>
        </w:rPr>
        <w:t>（参考范本）</w:t>
      </w:r>
    </w:p>
    <w:p w14:paraId="4074DE81">
      <w:pPr>
        <w:pStyle w:val="23"/>
        <w:spacing w:line="360" w:lineRule="auto"/>
        <w:outlineLvl w:val="1"/>
        <w:rPr>
          <w:rFonts w:hAnsi="宋体"/>
          <w:sz w:val="24"/>
          <w:szCs w:val="24"/>
          <w:highlight w:val="none"/>
        </w:rPr>
      </w:pPr>
      <w:bookmarkStart w:id="242" w:name="_Toc184723309"/>
      <w:r>
        <w:rPr>
          <w:rFonts w:hint="eastAsia" w:hAnsi="宋体"/>
          <w:sz w:val="24"/>
          <w:szCs w:val="24"/>
          <w:highlight w:val="none"/>
        </w:rPr>
        <w:t>合同编号：</w:t>
      </w:r>
      <w:bookmarkEnd w:id="242"/>
    </w:p>
    <w:p w14:paraId="71CA501F">
      <w:pPr>
        <w:pStyle w:val="23"/>
        <w:spacing w:line="360" w:lineRule="auto"/>
        <w:ind w:firstLine="482"/>
        <w:outlineLvl w:val="1"/>
        <w:rPr>
          <w:rFonts w:hAnsi="宋体"/>
          <w:sz w:val="24"/>
          <w:szCs w:val="24"/>
          <w:highlight w:val="none"/>
        </w:rPr>
      </w:pPr>
    </w:p>
    <w:p w14:paraId="53C4A03D">
      <w:pPr>
        <w:pStyle w:val="23"/>
        <w:spacing w:line="360" w:lineRule="auto"/>
        <w:outlineLvl w:val="1"/>
        <w:rPr>
          <w:rFonts w:hAnsi="宋体"/>
          <w:sz w:val="24"/>
          <w:szCs w:val="24"/>
          <w:highlight w:val="none"/>
        </w:rPr>
      </w:pPr>
      <w:bookmarkStart w:id="243" w:name="_Toc184723310"/>
      <w:r>
        <w:rPr>
          <w:rFonts w:hint="eastAsia" w:hAnsi="宋体"/>
          <w:sz w:val="24"/>
          <w:szCs w:val="24"/>
          <w:highlight w:val="none"/>
        </w:rPr>
        <w:t>甲方：开平市中医院</w:t>
      </w:r>
      <w:bookmarkEnd w:id="243"/>
    </w:p>
    <w:p w14:paraId="6EDF46AC">
      <w:pPr>
        <w:pStyle w:val="23"/>
        <w:spacing w:line="360" w:lineRule="auto"/>
        <w:outlineLvl w:val="1"/>
        <w:rPr>
          <w:rFonts w:hAnsi="宋体"/>
          <w:sz w:val="24"/>
          <w:szCs w:val="24"/>
          <w:highlight w:val="none"/>
        </w:rPr>
      </w:pPr>
      <w:bookmarkStart w:id="244" w:name="_Toc184723311"/>
      <w:r>
        <w:rPr>
          <w:rFonts w:hint="eastAsia" w:hAnsi="宋体"/>
          <w:sz w:val="24"/>
          <w:szCs w:val="24"/>
          <w:highlight w:val="none"/>
        </w:rPr>
        <w:t>乙方：</w:t>
      </w:r>
      <w:bookmarkEnd w:id="244"/>
    </w:p>
    <w:p w14:paraId="1D82B174">
      <w:pPr>
        <w:rPr>
          <w:rFonts w:ascii="宋体" w:hAnsi="宋体" w:eastAsia="宋体"/>
          <w:sz w:val="24"/>
          <w:szCs w:val="24"/>
          <w:highlight w:val="none"/>
        </w:rPr>
      </w:pPr>
    </w:p>
    <w:p w14:paraId="2D6BC327">
      <w:pPr>
        <w:pStyle w:val="23"/>
        <w:spacing w:line="360" w:lineRule="auto"/>
        <w:ind w:firstLine="482"/>
        <w:outlineLvl w:val="1"/>
        <w:rPr>
          <w:rFonts w:hAnsi="宋体"/>
          <w:sz w:val="24"/>
          <w:szCs w:val="24"/>
          <w:highlight w:val="none"/>
        </w:rPr>
      </w:pPr>
      <w:bookmarkStart w:id="245" w:name="_Toc184723312"/>
      <w:r>
        <w:rPr>
          <w:rFonts w:hint="eastAsia" w:hAnsi="宋体"/>
          <w:sz w:val="24"/>
          <w:szCs w:val="24"/>
          <w:highlight w:val="none"/>
        </w:rPr>
        <w:t>甲乙双方根据《中华人民共和国民法典》等法律法规的规定，按照2025年**月**日开平市中医院热水设备采购及安装项目（采购编号：）的中选结果、遴选文件、乙方的响应文件和成交通知书的要求，经双方协商一致签订本协议。</w:t>
      </w:r>
      <w:bookmarkEnd w:id="245"/>
    </w:p>
    <w:bookmarkEnd w:id="239"/>
    <w:bookmarkEnd w:id="240"/>
    <w:p w14:paraId="6BB910DD">
      <w:pPr>
        <w:tabs>
          <w:tab w:val="left" w:pos="1350"/>
        </w:tabs>
        <w:adjustRightInd w:val="0"/>
        <w:spacing w:line="480" w:lineRule="exact"/>
        <w:ind w:firstLine="482" w:firstLineChars="200"/>
        <w:jc w:val="left"/>
        <w:textAlignment w:val="top"/>
        <w:rPr>
          <w:rFonts w:hint="eastAsia" w:ascii="宋体" w:hAnsi="宋体" w:eastAsia="宋体"/>
          <w:b/>
          <w:sz w:val="24"/>
          <w:szCs w:val="24"/>
          <w:highlight w:val="none"/>
          <w:lang w:eastAsia="zh-CN"/>
        </w:rPr>
      </w:pPr>
      <w:r>
        <w:rPr>
          <w:rFonts w:hint="eastAsia" w:ascii="宋体" w:hAnsi="宋体" w:eastAsia="宋体"/>
          <w:b/>
          <w:sz w:val="24"/>
          <w:szCs w:val="24"/>
          <w:highlight w:val="none"/>
        </w:rPr>
        <w:t>第一条</w:t>
      </w:r>
      <w:r>
        <w:rPr>
          <w:rFonts w:hint="eastAsia" w:ascii="宋体" w:hAnsi="宋体" w:eastAsia="宋体"/>
          <w:b/>
          <w:sz w:val="24"/>
          <w:szCs w:val="24"/>
          <w:highlight w:val="none"/>
          <w:lang w:val="en-US" w:eastAsia="zh-CN"/>
        </w:rPr>
        <w:t xml:space="preserve">  </w:t>
      </w:r>
      <w:r>
        <w:rPr>
          <w:rFonts w:hint="eastAsia" w:ascii="宋体" w:hAnsi="宋体" w:eastAsia="宋体"/>
          <w:b/>
          <w:sz w:val="24"/>
          <w:szCs w:val="24"/>
          <w:highlight w:val="none"/>
        </w:rPr>
        <w:t>项目的名称、项目总价、技术要求和</w:t>
      </w:r>
      <w:r>
        <w:rPr>
          <w:rFonts w:hint="eastAsia" w:ascii="宋体" w:hAnsi="宋体" w:eastAsia="宋体"/>
          <w:b/>
          <w:sz w:val="24"/>
          <w:szCs w:val="24"/>
          <w:highlight w:val="none"/>
          <w:lang w:val="en-US" w:eastAsia="zh-CN"/>
        </w:rPr>
        <w:t>售后</w:t>
      </w:r>
      <w:r>
        <w:rPr>
          <w:rFonts w:hint="eastAsia" w:ascii="宋体" w:hAnsi="宋体" w:eastAsia="宋体"/>
          <w:b/>
          <w:sz w:val="24"/>
          <w:szCs w:val="24"/>
          <w:highlight w:val="none"/>
        </w:rPr>
        <w:t>服务</w:t>
      </w:r>
      <w:r>
        <w:rPr>
          <w:rFonts w:hint="eastAsia" w:ascii="宋体" w:hAnsi="宋体" w:eastAsia="宋体"/>
          <w:b/>
          <w:sz w:val="24"/>
          <w:szCs w:val="24"/>
          <w:highlight w:val="none"/>
          <w:lang w:val="en-US" w:eastAsia="zh-CN"/>
        </w:rPr>
        <w:t>要求</w:t>
      </w:r>
    </w:p>
    <w:p w14:paraId="1BA80B9E">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rPr>
      </w:pPr>
      <w:r>
        <w:rPr>
          <w:rFonts w:hint="eastAsia" w:ascii="宋体" w:hAnsi="宋体" w:eastAsia="宋体"/>
          <w:b w:val="0"/>
          <w:bCs/>
          <w:sz w:val="24"/>
          <w:highlight w:val="none"/>
        </w:rPr>
        <w:t>（一）项目名称：</w:t>
      </w:r>
      <w:r>
        <w:rPr>
          <w:rFonts w:hint="eastAsia" w:ascii="宋体" w:hAnsi="宋体" w:eastAsia="宋体"/>
          <w:b w:val="0"/>
          <w:bCs/>
          <w:sz w:val="24"/>
          <w:highlight w:val="none"/>
          <w:u w:val="single"/>
        </w:rPr>
        <w:t xml:space="preserve">                  </w:t>
      </w:r>
      <w:r>
        <w:rPr>
          <w:rFonts w:hint="eastAsia" w:ascii="宋体" w:hAnsi="宋体" w:eastAsia="宋体"/>
          <w:b w:val="0"/>
          <w:bCs/>
          <w:sz w:val="24"/>
          <w:highlight w:val="none"/>
        </w:rPr>
        <w:t>；</w:t>
      </w:r>
    </w:p>
    <w:p w14:paraId="45567850">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rPr>
      </w:pPr>
      <w:r>
        <w:rPr>
          <w:rFonts w:hint="eastAsia" w:ascii="宋体" w:hAnsi="宋体" w:eastAsia="宋体"/>
          <w:b w:val="0"/>
          <w:bCs/>
          <w:sz w:val="24"/>
          <w:highlight w:val="none"/>
        </w:rPr>
        <w:t>（二）项目总价为（小写）</w:t>
      </w:r>
      <w:r>
        <w:rPr>
          <w:rFonts w:hint="eastAsia" w:ascii="宋体" w:hAnsi="宋体" w:eastAsia="宋体"/>
          <w:b w:val="0"/>
          <w:bCs/>
          <w:sz w:val="24"/>
          <w:highlight w:val="none"/>
          <w:u w:val="single"/>
        </w:rPr>
        <w:t xml:space="preserve">    </w:t>
      </w:r>
      <w:r>
        <w:rPr>
          <w:rFonts w:hint="eastAsia" w:ascii="宋体" w:hAnsi="宋体" w:eastAsia="宋体"/>
          <w:b w:val="0"/>
          <w:bCs/>
          <w:sz w:val="24"/>
          <w:highlight w:val="none"/>
        </w:rPr>
        <w:t>元，（大写）人民币</w:t>
      </w:r>
      <w:r>
        <w:rPr>
          <w:rFonts w:hint="eastAsia" w:ascii="宋体" w:hAnsi="宋体" w:eastAsia="宋体"/>
          <w:b w:val="0"/>
          <w:bCs/>
          <w:sz w:val="24"/>
          <w:highlight w:val="none"/>
          <w:u w:val="single"/>
        </w:rPr>
        <w:t xml:space="preserve">    </w:t>
      </w:r>
      <w:r>
        <w:rPr>
          <w:rFonts w:hint="eastAsia" w:ascii="宋体" w:hAnsi="宋体" w:eastAsia="宋体"/>
          <w:b w:val="0"/>
          <w:bCs/>
          <w:sz w:val="24"/>
          <w:highlight w:val="none"/>
        </w:rPr>
        <w:t>整。（</w:t>
      </w:r>
      <w:r>
        <w:rPr>
          <w:rFonts w:hint="eastAsia" w:ascii="宋体" w:hAnsi="宋体" w:eastAsia="宋体"/>
          <w:b w:val="0"/>
          <w:bCs/>
          <w:sz w:val="24"/>
          <w:highlight w:val="none"/>
          <w:lang w:val="en-US" w:eastAsia="zh-CN"/>
        </w:rPr>
        <w:t>含税</w:t>
      </w:r>
      <w:r>
        <w:rPr>
          <w:rFonts w:hint="eastAsia" w:ascii="宋体" w:hAnsi="宋体" w:eastAsia="宋体"/>
          <w:b w:val="0"/>
          <w:bCs/>
          <w:sz w:val="24"/>
          <w:highlight w:val="none"/>
        </w:rPr>
        <w:t>）</w:t>
      </w:r>
    </w:p>
    <w:p w14:paraId="5E58C14B">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rPr>
      </w:pPr>
      <w:r>
        <w:rPr>
          <w:rFonts w:hint="eastAsia" w:ascii="宋体" w:hAnsi="宋体" w:eastAsia="宋体"/>
          <w:b w:val="0"/>
          <w:bCs/>
          <w:sz w:val="24"/>
          <w:highlight w:val="none"/>
        </w:rPr>
        <w:t>（三）本项目实施过程中乙方与甲方</w:t>
      </w:r>
      <w:r>
        <w:rPr>
          <w:rFonts w:hint="eastAsia" w:ascii="宋体" w:hAnsi="宋体" w:eastAsia="宋体"/>
          <w:b w:val="0"/>
          <w:bCs/>
          <w:sz w:val="24"/>
          <w:highlight w:val="none"/>
          <w:lang w:eastAsia="zh-CN"/>
        </w:rPr>
        <w:t>的</w:t>
      </w:r>
      <w:r>
        <w:rPr>
          <w:rFonts w:hint="eastAsia" w:ascii="宋体" w:hAnsi="宋体" w:eastAsia="宋体"/>
          <w:b w:val="0"/>
          <w:bCs/>
          <w:sz w:val="24"/>
          <w:highlight w:val="none"/>
        </w:rPr>
        <w:t>HIS系统、</w:t>
      </w:r>
      <w:r>
        <w:rPr>
          <w:rFonts w:hint="eastAsia" w:ascii="宋体" w:hAnsi="宋体" w:eastAsia="宋体"/>
          <w:b w:val="0"/>
          <w:bCs/>
          <w:sz w:val="24"/>
          <w:highlight w:val="none"/>
          <w:lang w:val="en-US" w:eastAsia="zh-CN"/>
        </w:rPr>
        <w:t>LIS系统、PACS系统、心电图系统及省级职业体检平台、区域健康档案平台</w:t>
      </w:r>
      <w:r>
        <w:rPr>
          <w:rFonts w:hint="eastAsia" w:ascii="宋体" w:hAnsi="宋体" w:eastAsia="宋体"/>
          <w:b w:val="0"/>
          <w:bCs/>
          <w:sz w:val="24"/>
          <w:highlight w:val="none"/>
        </w:rPr>
        <w:t>的开发对接产生的开发费用、接口费用或其他费用由乙方承担,甲方不再支付；</w:t>
      </w:r>
      <w:r>
        <w:rPr>
          <w:rFonts w:hint="eastAsia" w:ascii="宋体" w:hAnsi="宋体" w:eastAsia="宋体"/>
          <w:b w:val="0"/>
          <w:bCs/>
          <w:sz w:val="24"/>
          <w:highlight w:val="none"/>
          <w:lang w:val="en-US" w:eastAsia="zh-CN"/>
        </w:rPr>
        <w:t>合同项目总价</w:t>
      </w:r>
      <w:r>
        <w:rPr>
          <w:rFonts w:hint="eastAsia" w:ascii="宋体" w:hAnsi="宋体" w:eastAsia="宋体"/>
          <w:b w:val="0"/>
          <w:bCs/>
          <w:sz w:val="24"/>
          <w:highlight w:val="none"/>
        </w:rPr>
        <w:t>为人民币含税全包价，包括所投产品的设计、开发、测试、运输、安装调试、第三方接口开发调试、对接、验收、培训、售后服务及相关服务等一切费用。所投产品开发过程中若涉及第三方的知识产权，其使用过程所产生的一切费用应包含在本次投标报价内。</w:t>
      </w:r>
    </w:p>
    <w:p w14:paraId="5F5F7636">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rPr>
      </w:pPr>
      <w:r>
        <w:rPr>
          <w:rFonts w:hint="eastAsia" w:ascii="宋体" w:hAnsi="宋体" w:eastAsia="宋体"/>
          <w:b w:val="0"/>
          <w:bCs/>
          <w:sz w:val="24"/>
          <w:highlight w:val="none"/>
        </w:rPr>
        <w:t xml:space="preserve">（四）项目内容及产品清单： </w:t>
      </w:r>
    </w:p>
    <w:tbl>
      <w:tblPr>
        <w:tblStyle w:val="4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488"/>
        <w:gridCol w:w="6054"/>
      </w:tblGrid>
      <w:tr w14:paraId="319746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9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1195BD6">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rPr>
            </w:pPr>
            <w:r>
              <w:rPr>
                <w:rFonts w:hint="eastAsia" w:ascii="宋体" w:hAnsi="宋体" w:eastAsia="宋体"/>
                <w:b w:val="0"/>
                <w:bCs/>
                <w:sz w:val="24"/>
                <w:highlight w:val="none"/>
              </w:rPr>
              <w:t>服务项目</w:t>
            </w:r>
          </w:p>
        </w:tc>
        <w:tc>
          <w:tcPr>
            <w:tcW w:w="747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355337C">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rPr>
            </w:pPr>
            <w:r>
              <w:rPr>
                <w:rFonts w:hint="eastAsia" w:ascii="宋体" w:hAnsi="宋体" w:eastAsia="宋体"/>
                <w:b w:val="0"/>
                <w:bCs/>
                <w:sz w:val="24"/>
                <w:highlight w:val="none"/>
              </w:rPr>
              <w:t>服务内容</w:t>
            </w:r>
          </w:p>
        </w:tc>
      </w:tr>
      <w:tr w14:paraId="501B0E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D89923">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rPr>
            </w:pPr>
          </w:p>
        </w:tc>
        <w:tc>
          <w:tcPr>
            <w:tcW w:w="74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61E474">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rPr>
            </w:pPr>
          </w:p>
        </w:tc>
      </w:tr>
      <w:tr w14:paraId="62AB89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9DCCF7">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rPr>
            </w:pPr>
          </w:p>
        </w:tc>
        <w:tc>
          <w:tcPr>
            <w:tcW w:w="74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B56B26">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rPr>
            </w:pPr>
          </w:p>
        </w:tc>
      </w:tr>
    </w:tbl>
    <w:p w14:paraId="764D252C">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rPr>
      </w:pPr>
      <w:r>
        <w:rPr>
          <w:rFonts w:hint="eastAsia" w:ascii="宋体" w:hAnsi="宋体" w:eastAsia="宋体"/>
          <w:b w:val="0"/>
          <w:bCs/>
          <w:sz w:val="24"/>
          <w:highlight w:val="none"/>
        </w:rPr>
        <w:t>（五）技术要求：</w:t>
      </w:r>
    </w:p>
    <w:p w14:paraId="6E1B7DF6">
      <w:pPr>
        <w:pStyle w:val="23"/>
        <w:spacing w:line="360" w:lineRule="auto"/>
        <w:ind w:firstLine="482"/>
        <w:outlineLvl w:val="1"/>
        <w:rPr>
          <w:rFonts w:hint="default" w:ascii="宋体" w:hAnsi="宋体" w:eastAsia="宋体"/>
          <w:b w:val="0"/>
          <w:bCs/>
          <w:sz w:val="24"/>
          <w:szCs w:val="24"/>
          <w:highlight w:val="none"/>
          <w:lang w:val="en-US" w:eastAsia="zh-CN"/>
        </w:rPr>
      </w:pPr>
      <w:r>
        <w:rPr>
          <w:rFonts w:hint="eastAsia" w:hAnsi="宋体"/>
          <w:sz w:val="24"/>
          <w:szCs w:val="24"/>
          <w:highlight w:val="none"/>
          <w:lang w:val="en-US" w:eastAsia="zh-CN"/>
        </w:rPr>
        <w:t>1、</w:t>
      </w:r>
      <w:r>
        <w:rPr>
          <w:rFonts w:hint="eastAsia" w:hAnsi="宋体"/>
          <w:b w:val="0"/>
          <w:bCs/>
          <w:sz w:val="24"/>
          <w:szCs w:val="24"/>
          <w:highlight w:val="none"/>
          <w:lang w:val="en-US" w:eastAsia="zh-CN"/>
        </w:rPr>
        <w:t>根据乙方响应文件的技术方案及实施方案实施本项目。</w:t>
      </w:r>
    </w:p>
    <w:p w14:paraId="519A1331">
      <w:pPr>
        <w:pStyle w:val="23"/>
        <w:spacing w:line="360" w:lineRule="auto"/>
        <w:ind w:firstLine="482"/>
        <w:outlineLvl w:val="1"/>
        <w:rPr>
          <w:rFonts w:hint="eastAsia" w:hAnsi="宋体"/>
          <w:sz w:val="24"/>
          <w:szCs w:val="24"/>
          <w:highlight w:val="none"/>
          <w:lang w:val="en-US" w:eastAsia="zh-CN"/>
        </w:rPr>
      </w:pPr>
      <w:r>
        <w:rPr>
          <w:rFonts w:hint="eastAsia" w:hAnsi="宋体"/>
          <w:sz w:val="24"/>
          <w:szCs w:val="24"/>
          <w:highlight w:val="none"/>
          <w:lang w:val="en-US" w:eastAsia="zh-CN"/>
        </w:rPr>
        <w:t>2、系统目标</w:t>
      </w:r>
    </w:p>
    <w:p w14:paraId="201F8ABE">
      <w:pPr>
        <w:pStyle w:val="23"/>
        <w:spacing w:line="360" w:lineRule="auto"/>
        <w:ind w:firstLine="482"/>
        <w:outlineLvl w:val="1"/>
        <w:rPr>
          <w:rFonts w:hint="default" w:hAnsi="宋体"/>
          <w:sz w:val="24"/>
          <w:szCs w:val="24"/>
          <w:highlight w:val="none"/>
          <w:lang w:val="en-US" w:eastAsia="zh-CN"/>
        </w:rPr>
      </w:pPr>
      <w:r>
        <w:rPr>
          <w:rFonts w:hint="default" w:hAnsi="宋体"/>
          <w:sz w:val="24"/>
          <w:szCs w:val="24"/>
          <w:highlight w:val="none"/>
          <w:lang w:val="en-US" w:eastAsia="zh-CN"/>
        </w:rPr>
        <w:t>通过计算机软件的管理，实现信息全面共享，提高工作效率，达到体检中心的信息化管理。实现职业健康监护管理及普通健康管理通用化、专业化。支持职业健康监护管理的需要；支持职业健康监护规范化；提高职业健康监护信息处理效率，通过智能化接口减少人工录入错误。</w:t>
      </w:r>
    </w:p>
    <w:p w14:paraId="488C318B">
      <w:pPr>
        <w:pStyle w:val="23"/>
        <w:spacing w:line="360" w:lineRule="auto"/>
        <w:ind w:firstLine="482"/>
        <w:outlineLvl w:val="1"/>
        <w:rPr>
          <w:rFonts w:hint="eastAsia" w:hAnsi="宋体"/>
          <w:sz w:val="24"/>
          <w:szCs w:val="24"/>
          <w:highlight w:val="none"/>
          <w:lang w:val="en-US" w:eastAsia="zh-CN"/>
        </w:rPr>
      </w:pPr>
      <w:r>
        <w:rPr>
          <w:rFonts w:hint="eastAsia" w:hAnsi="宋体"/>
          <w:sz w:val="24"/>
          <w:szCs w:val="24"/>
          <w:highlight w:val="none"/>
          <w:lang w:val="en-US" w:eastAsia="zh-CN"/>
        </w:rPr>
        <w:t>3、运行环境要求</w:t>
      </w:r>
      <w:r>
        <w:rPr>
          <w:rFonts w:hint="eastAsia" w:hAnsi="宋体"/>
          <w:sz w:val="24"/>
          <w:szCs w:val="24"/>
          <w:highlight w:val="none"/>
          <w:lang w:val="en-US" w:eastAsia="zh-CN"/>
        </w:rPr>
        <w:cr/>
      </w:r>
      <w:r>
        <w:rPr>
          <w:rFonts w:hint="eastAsia" w:hAnsi="宋体"/>
          <w:sz w:val="24"/>
          <w:szCs w:val="24"/>
          <w:highlight w:val="none"/>
          <w:lang w:val="en-US" w:eastAsia="zh-CN"/>
        </w:rPr>
        <w:tab/>
      </w:r>
      <w:r>
        <w:rPr>
          <w:rFonts w:hint="eastAsia" w:hAnsi="宋体"/>
          <w:sz w:val="24"/>
          <w:szCs w:val="24"/>
          <w:highlight w:val="none"/>
          <w:lang w:val="en-US" w:eastAsia="zh-CN"/>
        </w:rPr>
        <w:t>(1)数据库:基于国家信创政策改造要求，需支持国产数据库，如国家信创目录上翰高、达梦、人大金仓等，还需兼容主流数据库，包括MS SQL SERVER、ORACLE、DB2 等的最新或较新的版本。</w:t>
      </w:r>
      <w:r>
        <w:rPr>
          <w:rFonts w:hint="eastAsia" w:hAnsi="宋体"/>
          <w:sz w:val="24"/>
          <w:szCs w:val="24"/>
          <w:highlight w:val="none"/>
          <w:lang w:val="en-US" w:eastAsia="zh-CN"/>
        </w:rPr>
        <w:cr/>
      </w:r>
      <w:r>
        <w:rPr>
          <w:rFonts w:hint="eastAsia" w:hAnsi="宋体"/>
          <w:sz w:val="24"/>
          <w:szCs w:val="24"/>
          <w:highlight w:val="none"/>
          <w:lang w:val="en-US" w:eastAsia="zh-CN"/>
        </w:rPr>
        <w:tab/>
      </w:r>
      <w:r>
        <w:rPr>
          <w:rFonts w:hint="eastAsia" w:hAnsi="宋体"/>
          <w:sz w:val="24"/>
          <w:szCs w:val="24"/>
          <w:highlight w:val="none"/>
          <w:lang w:val="en-US" w:eastAsia="zh-CN"/>
        </w:rPr>
        <w:t>(2)操作系统:基于国家信创政策改造要求，需支持至少两款国产操作系统，如国家信创目录上麒麟鲲鹏、华为-鲲鹏展翅、统信等，还需支持主流服务器操作系统，包括WINDOWS、UNIX，LINUX等的最新或较新的版本外。</w:t>
      </w:r>
    </w:p>
    <w:p w14:paraId="34FFDEFE">
      <w:pPr>
        <w:pStyle w:val="23"/>
        <w:spacing w:line="360" w:lineRule="auto"/>
        <w:ind w:firstLine="482"/>
        <w:outlineLvl w:val="1"/>
        <w:rPr>
          <w:rFonts w:hint="eastAsia" w:hAnsi="宋体"/>
          <w:sz w:val="24"/>
          <w:szCs w:val="24"/>
          <w:highlight w:val="none"/>
          <w:lang w:val="en-US" w:eastAsia="zh-CN"/>
        </w:rPr>
      </w:pPr>
      <w:r>
        <w:rPr>
          <w:rFonts w:hint="eastAsia" w:hAnsi="宋体"/>
          <w:sz w:val="24"/>
          <w:szCs w:val="24"/>
          <w:highlight w:val="none"/>
          <w:lang w:val="en-US" w:eastAsia="zh-CN"/>
        </w:rPr>
        <w:t>4、系统技术参数</w:t>
      </w:r>
    </w:p>
    <w:tbl>
      <w:tblPr>
        <w:tblStyle w:val="42"/>
        <w:tblW w:w="94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80"/>
        <w:gridCol w:w="7960"/>
      </w:tblGrid>
      <w:tr w14:paraId="1B56A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14:paraId="0B68E3D1">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模块</w:t>
            </w:r>
          </w:p>
        </w:tc>
        <w:tc>
          <w:tcPr>
            <w:tcW w:w="7960" w:type="dxa"/>
            <w:tcBorders>
              <w:top w:val="single" w:color="auto" w:sz="4" w:space="0"/>
              <w:left w:val="nil"/>
              <w:bottom w:val="single" w:color="auto" w:sz="4" w:space="0"/>
              <w:right w:val="single" w:color="auto" w:sz="4" w:space="0"/>
            </w:tcBorders>
            <w:shd w:val="clear" w:color="auto" w:fill="auto"/>
            <w:vAlign w:val="center"/>
          </w:tcPr>
          <w:p w14:paraId="5A713A84">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功能</w:t>
            </w:r>
          </w:p>
        </w:tc>
      </w:tr>
      <w:tr w14:paraId="41E0C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80" w:type="dxa"/>
            <w:vMerge w:val="restart"/>
            <w:tcBorders>
              <w:top w:val="nil"/>
              <w:left w:val="single" w:color="auto" w:sz="4" w:space="0"/>
              <w:bottom w:val="single" w:color="auto" w:sz="4" w:space="0"/>
              <w:right w:val="single" w:color="auto" w:sz="4" w:space="0"/>
            </w:tcBorders>
            <w:shd w:val="clear" w:color="auto" w:fill="auto"/>
            <w:vAlign w:val="center"/>
          </w:tcPr>
          <w:p w14:paraId="309D68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1.接口</w:t>
            </w:r>
          </w:p>
        </w:tc>
        <w:tc>
          <w:tcPr>
            <w:tcW w:w="7960" w:type="dxa"/>
            <w:tcBorders>
              <w:top w:val="nil"/>
              <w:left w:val="nil"/>
              <w:bottom w:val="single" w:color="auto" w:sz="4" w:space="0"/>
              <w:right w:val="single" w:color="auto" w:sz="4" w:space="0"/>
            </w:tcBorders>
            <w:shd w:val="clear" w:color="auto" w:fill="auto"/>
            <w:vAlign w:val="center"/>
          </w:tcPr>
          <w:p w14:paraId="02E0B390">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★1.1 实时上传职业体检报告、企业信息及危害因素数据至省级职业体检平台</w:t>
            </w:r>
          </w:p>
        </w:tc>
      </w:tr>
      <w:tr w14:paraId="6138B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480" w:type="dxa"/>
            <w:vMerge w:val="continue"/>
            <w:tcBorders>
              <w:top w:val="nil"/>
              <w:left w:val="single" w:color="auto" w:sz="4" w:space="0"/>
              <w:bottom w:val="single" w:color="auto" w:sz="4" w:space="0"/>
              <w:right w:val="single" w:color="auto" w:sz="4" w:space="0"/>
            </w:tcBorders>
            <w:shd w:val="clear" w:color="auto" w:fill="auto"/>
            <w:vAlign w:val="center"/>
          </w:tcPr>
          <w:p w14:paraId="62F8C5C1">
            <w:pPr>
              <w:jc w:val="center"/>
              <w:rPr>
                <w:rFonts w:hint="eastAsia" w:ascii="宋体" w:hAnsi="宋体" w:eastAsia="宋体" w:cs="宋体"/>
                <w:i w:val="0"/>
                <w:iCs w:val="0"/>
                <w:color w:val="000000"/>
                <w:sz w:val="22"/>
                <w:szCs w:val="22"/>
                <w:highlight w:val="none"/>
                <w:u w:val="none"/>
              </w:rPr>
            </w:pPr>
          </w:p>
        </w:tc>
        <w:tc>
          <w:tcPr>
            <w:tcW w:w="7960" w:type="dxa"/>
            <w:tcBorders>
              <w:top w:val="nil"/>
              <w:left w:val="nil"/>
              <w:bottom w:val="single" w:color="auto" w:sz="4" w:space="0"/>
              <w:right w:val="single" w:color="auto" w:sz="4" w:space="0"/>
            </w:tcBorders>
            <w:shd w:val="clear" w:color="auto" w:fill="auto"/>
            <w:vAlign w:val="center"/>
          </w:tcPr>
          <w:p w14:paraId="414C1A34">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★1.2 上传体检数据至区域健康档案平台</w:t>
            </w:r>
          </w:p>
        </w:tc>
      </w:tr>
      <w:tr w14:paraId="52A49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480" w:type="dxa"/>
            <w:vMerge w:val="continue"/>
            <w:tcBorders>
              <w:top w:val="nil"/>
              <w:left w:val="single" w:color="auto" w:sz="4" w:space="0"/>
              <w:bottom w:val="single" w:color="auto" w:sz="4" w:space="0"/>
              <w:right w:val="single" w:color="auto" w:sz="4" w:space="0"/>
            </w:tcBorders>
            <w:shd w:val="clear" w:color="auto" w:fill="auto"/>
            <w:vAlign w:val="center"/>
          </w:tcPr>
          <w:p w14:paraId="73FB0917">
            <w:pPr>
              <w:jc w:val="center"/>
              <w:rPr>
                <w:rFonts w:hint="eastAsia" w:ascii="宋体" w:hAnsi="宋体" w:eastAsia="宋体" w:cs="宋体"/>
                <w:i w:val="0"/>
                <w:iCs w:val="0"/>
                <w:color w:val="000000"/>
                <w:sz w:val="22"/>
                <w:szCs w:val="22"/>
                <w:highlight w:val="none"/>
                <w:u w:val="none"/>
              </w:rPr>
            </w:pPr>
          </w:p>
        </w:tc>
        <w:tc>
          <w:tcPr>
            <w:tcW w:w="7960" w:type="dxa"/>
            <w:tcBorders>
              <w:top w:val="nil"/>
              <w:left w:val="nil"/>
              <w:bottom w:val="single" w:color="auto" w:sz="4" w:space="0"/>
              <w:right w:val="single" w:color="auto" w:sz="4" w:space="0"/>
            </w:tcBorders>
            <w:shd w:val="clear" w:color="auto" w:fill="auto"/>
            <w:vAlign w:val="center"/>
          </w:tcPr>
          <w:p w14:paraId="5A665E74">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★1.3 HIS系统互联互通</w:t>
            </w:r>
          </w:p>
        </w:tc>
      </w:tr>
      <w:tr w14:paraId="7B365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480" w:type="dxa"/>
            <w:vMerge w:val="continue"/>
            <w:tcBorders>
              <w:top w:val="nil"/>
              <w:left w:val="single" w:color="auto" w:sz="4" w:space="0"/>
              <w:bottom w:val="single" w:color="auto" w:sz="4" w:space="0"/>
              <w:right w:val="single" w:color="auto" w:sz="4" w:space="0"/>
            </w:tcBorders>
            <w:shd w:val="clear" w:color="auto" w:fill="auto"/>
            <w:vAlign w:val="center"/>
          </w:tcPr>
          <w:p w14:paraId="7F85E2F8">
            <w:pPr>
              <w:jc w:val="center"/>
              <w:rPr>
                <w:rFonts w:hint="eastAsia" w:ascii="宋体" w:hAnsi="宋体" w:eastAsia="宋体" w:cs="宋体"/>
                <w:i w:val="0"/>
                <w:iCs w:val="0"/>
                <w:color w:val="000000"/>
                <w:sz w:val="22"/>
                <w:szCs w:val="22"/>
                <w:highlight w:val="none"/>
                <w:u w:val="none"/>
              </w:rPr>
            </w:pPr>
          </w:p>
        </w:tc>
        <w:tc>
          <w:tcPr>
            <w:tcW w:w="7960" w:type="dxa"/>
            <w:tcBorders>
              <w:top w:val="nil"/>
              <w:left w:val="nil"/>
              <w:bottom w:val="single" w:color="auto" w:sz="4" w:space="0"/>
              <w:right w:val="single" w:color="auto" w:sz="4" w:space="0"/>
            </w:tcBorders>
            <w:shd w:val="clear" w:color="auto" w:fill="auto"/>
            <w:vAlign w:val="center"/>
          </w:tcPr>
          <w:p w14:paraId="1E83388C">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★1.4 LIS系统互联互通</w:t>
            </w:r>
          </w:p>
        </w:tc>
      </w:tr>
      <w:tr w14:paraId="7C117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480" w:type="dxa"/>
            <w:vMerge w:val="continue"/>
            <w:tcBorders>
              <w:top w:val="nil"/>
              <w:left w:val="single" w:color="auto" w:sz="4" w:space="0"/>
              <w:bottom w:val="single" w:color="auto" w:sz="4" w:space="0"/>
              <w:right w:val="single" w:color="auto" w:sz="4" w:space="0"/>
            </w:tcBorders>
            <w:shd w:val="clear" w:color="auto" w:fill="auto"/>
            <w:vAlign w:val="center"/>
          </w:tcPr>
          <w:p w14:paraId="4DD2C253">
            <w:pPr>
              <w:jc w:val="center"/>
              <w:rPr>
                <w:rFonts w:hint="eastAsia" w:ascii="宋体" w:hAnsi="宋体" w:eastAsia="宋体" w:cs="宋体"/>
                <w:i w:val="0"/>
                <w:iCs w:val="0"/>
                <w:color w:val="000000"/>
                <w:sz w:val="22"/>
                <w:szCs w:val="22"/>
                <w:highlight w:val="none"/>
                <w:u w:val="none"/>
              </w:rPr>
            </w:pPr>
          </w:p>
        </w:tc>
        <w:tc>
          <w:tcPr>
            <w:tcW w:w="7960" w:type="dxa"/>
            <w:tcBorders>
              <w:top w:val="nil"/>
              <w:left w:val="nil"/>
              <w:bottom w:val="single" w:color="auto" w:sz="4" w:space="0"/>
              <w:right w:val="single" w:color="auto" w:sz="4" w:space="0"/>
            </w:tcBorders>
            <w:shd w:val="clear" w:color="auto" w:fill="auto"/>
            <w:vAlign w:val="center"/>
          </w:tcPr>
          <w:p w14:paraId="2F3B1B2C">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★1.5 PACS系统互联互通</w:t>
            </w:r>
          </w:p>
        </w:tc>
      </w:tr>
      <w:tr w14:paraId="066B0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480" w:type="dxa"/>
            <w:vMerge w:val="continue"/>
            <w:tcBorders>
              <w:top w:val="nil"/>
              <w:left w:val="single" w:color="auto" w:sz="4" w:space="0"/>
              <w:bottom w:val="single" w:color="auto" w:sz="4" w:space="0"/>
              <w:right w:val="single" w:color="auto" w:sz="4" w:space="0"/>
            </w:tcBorders>
            <w:shd w:val="clear" w:color="auto" w:fill="auto"/>
            <w:vAlign w:val="center"/>
          </w:tcPr>
          <w:p w14:paraId="4FE92BA7">
            <w:pPr>
              <w:jc w:val="center"/>
              <w:rPr>
                <w:rFonts w:hint="eastAsia" w:ascii="宋体" w:hAnsi="宋体" w:eastAsia="宋体" w:cs="宋体"/>
                <w:i w:val="0"/>
                <w:iCs w:val="0"/>
                <w:color w:val="000000"/>
                <w:sz w:val="22"/>
                <w:szCs w:val="22"/>
                <w:highlight w:val="none"/>
                <w:u w:val="none"/>
              </w:rPr>
            </w:pPr>
          </w:p>
        </w:tc>
        <w:tc>
          <w:tcPr>
            <w:tcW w:w="7960" w:type="dxa"/>
            <w:tcBorders>
              <w:top w:val="nil"/>
              <w:left w:val="nil"/>
              <w:bottom w:val="single" w:color="auto" w:sz="4" w:space="0"/>
              <w:right w:val="single" w:color="auto" w:sz="4" w:space="0"/>
            </w:tcBorders>
            <w:shd w:val="clear" w:color="auto" w:fill="auto"/>
            <w:vAlign w:val="center"/>
          </w:tcPr>
          <w:p w14:paraId="79AF8D51">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★1.6 心电图系统互联互通</w:t>
            </w:r>
          </w:p>
        </w:tc>
      </w:tr>
      <w:tr w14:paraId="6B7A8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480" w:type="dxa"/>
            <w:vMerge w:val="restart"/>
            <w:tcBorders>
              <w:top w:val="nil"/>
              <w:left w:val="single" w:color="auto" w:sz="4" w:space="0"/>
              <w:bottom w:val="single" w:color="000000" w:sz="4" w:space="0"/>
              <w:right w:val="single" w:color="auto" w:sz="4" w:space="0"/>
            </w:tcBorders>
            <w:shd w:val="clear" w:color="auto" w:fill="auto"/>
            <w:vAlign w:val="center"/>
          </w:tcPr>
          <w:p w14:paraId="25FD8C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2.体检登记</w:t>
            </w:r>
          </w:p>
        </w:tc>
        <w:tc>
          <w:tcPr>
            <w:tcW w:w="7960" w:type="dxa"/>
            <w:tcBorders>
              <w:top w:val="nil"/>
              <w:left w:val="nil"/>
              <w:bottom w:val="single" w:color="auto" w:sz="4" w:space="0"/>
              <w:right w:val="single" w:color="auto" w:sz="4" w:space="0"/>
            </w:tcBorders>
            <w:shd w:val="clear" w:color="auto" w:fill="auto"/>
            <w:vAlign w:val="center"/>
          </w:tcPr>
          <w:p w14:paraId="27F77F4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 支持通过身份证读卡器读取身份证信息，同时通过身份证号码获取门诊ID</w:t>
            </w:r>
          </w:p>
        </w:tc>
      </w:tr>
      <w:tr w14:paraId="357F0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80" w:type="dxa"/>
            <w:vMerge w:val="continue"/>
            <w:tcBorders>
              <w:top w:val="nil"/>
              <w:left w:val="single" w:color="auto" w:sz="4" w:space="0"/>
              <w:bottom w:val="single" w:color="000000" w:sz="4" w:space="0"/>
              <w:right w:val="single" w:color="auto" w:sz="4" w:space="0"/>
            </w:tcBorders>
            <w:shd w:val="clear" w:color="auto" w:fill="auto"/>
            <w:vAlign w:val="center"/>
          </w:tcPr>
          <w:p w14:paraId="265E1FDB">
            <w:pPr>
              <w:jc w:val="center"/>
              <w:rPr>
                <w:rFonts w:hint="eastAsia" w:ascii="宋体" w:hAnsi="宋体" w:eastAsia="宋体" w:cs="宋体"/>
                <w:i w:val="0"/>
                <w:iCs w:val="0"/>
                <w:color w:val="000000"/>
                <w:sz w:val="22"/>
                <w:szCs w:val="22"/>
                <w:highlight w:val="none"/>
                <w:u w:val="none"/>
              </w:rPr>
            </w:pPr>
          </w:p>
        </w:tc>
        <w:tc>
          <w:tcPr>
            <w:tcW w:w="7960" w:type="dxa"/>
            <w:tcBorders>
              <w:top w:val="nil"/>
              <w:left w:val="nil"/>
              <w:bottom w:val="single" w:color="auto" w:sz="4" w:space="0"/>
              <w:right w:val="single" w:color="auto" w:sz="4" w:space="0"/>
            </w:tcBorders>
            <w:shd w:val="clear" w:color="auto" w:fill="auto"/>
            <w:vAlign w:val="center"/>
          </w:tcPr>
          <w:p w14:paraId="01A2677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 支持通过姓名、体检号、证件号作为条件查询出体检者信息；登记从业健康体检时可记录工种，并能够方便的查询</w:t>
            </w:r>
          </w:p>
        </w:tc>
      </w:tr>
      <w:tr w14:paraId="2F443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80" w:type="dxa"/>
            <w:vMerge w:val="continue"/>
            <w:tcBorders>
              <w:top w:val="nil"/>
              <w:left w:val="single" w:color="auto" w:sz="4" w:space="0"/>
              <w:bottom w:val="single" w:color="000000" w:sz="4" w:space="0"/>
              <w:right w:val="single" w:color="auto" w:sz="4" w:space="0"/>
            </w:tcBorders>
            <w:shd w:val="clear" w:color="auto" w:fill="auto"/>
            <w:vAlign w:val="center"/>
          </w:tcPr>
          <w:p w14:paraId="019EDCE1">
            <w:pPr>
              <w:jc w:val="center"/>
              <w:rPr>
                <w:rFonts w:hint="eastAsia" w:ascii="宋体" w:hAnsi="宋体" w:eastAsia="宋体" w:cs="宋体"/>
                <w:i w:val="0"/>
                <w:iCs w:val="0"/>
                <w:color w:val="000000"/>
                <w:sz w:val="22"/>
                <w:szCs w:val="22"/>
                <w:highlight w:val="none"/>
                <w:u w:val="none"/>
              </w:rPr>
            </w:pPr>
          </w:p>
        </w:tc>
        <w:tc>
          <w:tcPr>
            <w:tcW w:w="7960" w:type="dxa"/>
            <w:tcBorders>
              <w:top w:val="nil"/>
              <w:left w:val="nil"/>
              <w:bottom w:val="single" w:color="auto" w:sz="4" w:space="0"/>
              <w:right w:val="single" w:color="auto" w:sz="4" w:space="0"/>
            </w:tcBorders>
            <w:shd w:val="clear" w:color="auto" w:fill="auto"/>
            <w:vAlign w:val="center"/>
          </w:tcPr>
          <w:p w14:paraId="7414BC7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 支持现场照相功能，可设置拍照区域；现场采集相片，相片可在体检系统登记界面上显示，便于防止体检时冒名顶替现象</w:t>
            </w:r>
          </w:p>
        </w:tc>
      </w:tr>
      <w:tr w14:paraId="49532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480" w:type="dxa"/>
            <w:vMerge w:val="continue"/>
            <w:tcBorders>
              <w:top w:val="nil"/>
              <w:left w:val="single" w:color="auto" w:sz="4" w:space="0"/>
              <w:bottom w:val="single" w:color="000000" w:sz="4" w:space="0"/>
              <w:right w:val="single" w:color="auto" w:sz="4" w:space="0"/>
            </w:tcBorders>
            <w:shd w:val="clear" w:color="auto" w:fill="auto"/>
            <w:vAlign w:val="center"/>
          </w:tcPr>
          <w:p w14:paraId="118358D5">
            <w:pPr>
              <w:jc w:val="center"/>
              <w:rPr>
                <w:rFonts w:hint="eastAsia" w:ascii="宋体" w:hAnsi="宋体" w:eastAsia="宋体" w:cs="宋体"/>
                <w:i w:val="0"/>
                <w:iCs w:val="0"/>
                <w:color w:val="000000"/>
                <w:sz w:val="22"/>
                <w:szCs w:val="22"/>
                <w:highlight w:val="none"/>
                <w:u w:val="none"/>
              </w:rPr>
            </w:pPr>
          </w:p>
        </w:tc>
        <w:tc>
          <w:tcPr>
            <w:tcW w:w="7960" w:type="dxa"/>
            <w:tcBorders>
              <w:top w:val="nil"/>
              <w:left w:val="nil"/>
              <w:bottom w:val="single" w:color="auto" w:sz="4" w:space="0"/>
              <w:right w:val="single" w:color="auto" w:sz="4" w:space="0"/>
            </w:tcBorders>
            <w:shd w:val="clear" w:color="auto" w:fill="auto"/>
            <w:vAlign w:val="center"/>
          </w:tcPr>
          <w:p w14:paraId="207B2C1C">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▲2.4 选择套餐或项目并可设置优惠，自动计算费用并显示</w:t>
            </w:r>
          </w:p>
        </w:tc>
      </w:tr>
      <w:tr w14:paraId="3F5F4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480" w:type="dxa"/>
            <w:vMerge w:val="continue"/>
            <w:tcBorders>
              <w:top w:val="nil"/>
              <w:left w:val="single" w:color="auto" w:sz="4" w:space="0"/>
              <w:bottom w:val="single" w:color="000000" w:sz="4" w:space="0"/>
              <w:right w:val="single" w:color="auto" w:sz="4" w:space="0"/>
            </w:tcBorders>
            <w:shd w:val="clear" w:color="auto" w:fill="auto"/>
            <w:vAlign w:val="center"/>
          </w:tcPr>
          <w:p w14:paraId="016CAF66">
            <w:pPr>
              <w:jc w:val="center"/>
              <w:rPr>
                <w:rFonts w:hint="eastAsia" w:ascii="宋体" w:hAnsi="宋体" w:eastAsia="宋体" w:cs="宋体"/>
                <w:i w:val="0"/>
                <w:iCs w:val="0"/>
                <w:color w:val="000000"/>
                <w:sz w:val="22"/>
                <w:szCs w:val="22"/>
                <w:highlight w:val="none"/>
                <w:u w:val="none"/>
              </w:rPr>
            </w:pPr>
          </w:p>
        </w:tc>
        <w:tc>
          <w:tcPr>
            <w:tcW w:w="7960" w:type="dxa"/>
            <w:tcBorders>
              <w:top w:val="nil"/>
              <w:left w:val="nil"/>
              <w:bottom w:val="single" w:color="auto" w:sz="4" w:space="0"/>
              <w:right w:val="single" w:color="auto" w:sz="4" w:space="0"/>
            </w:tcBorders>
            <w:shd w:val="clear" w:color="auto" w:fill="auto"/>
            <w:vAlign w:val="center"/>
          </w:tcPr>
          <w:p w14:paraId="630D7E89">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▲2.5 选择套餐后可增减检查项目及设置优惠</w:t>
            </w:r>
          </w:p>
        </w:tc>
      </w:tr>
      <w:tr w14:paraId="4964B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480" w:type="dxa"/>
            <w:vMerge w:val="continue"/>
            <w:tcBorders>
              <w:top w:val="nil"/>
              <w:left w:val="single" w:color="auto" w:sz="4" w:space="0"/>
              <w:bottom w:val="single" w:color="000000" w:sz="4" w:space="0"/>
              <w:right w:val="single" w:color="auto" w:sz="4" w:space="0"/>
            </w:tcBorders>
            <w:shd w:val="clear" w:color="auto" w:fill="auto"/>
            <w:vAlign w:val="center"/>
          </w:tcPr>
          <w:p w14:paraId="2790FAFB">
            <w:pPr>
              <w:jc w:val="center"/>
              <w:rPr>
                <w:rFonts w:hint="eastAsia" w:ascii="宋体" w:hAnsi="宋体" w:eastAsia="宋体" w:cs="宋体"/>
                <w:i w:val="0"/>
                <w:iCs w:val="0"/>
                <w:color w:val="000000"/>
                <w:sz w:val="22"/>
                <w:szCs w:val="22"/>
                <w:highlight w:val="none"/>
                <w:u w:val="none"/>
              </w:rPr>
            </w:pPr>
          </w:p>
        </w:tc>
        <w:tc>
          <w:tcPr>
            <w:tcW w:w="7960" w:type="dxa"/>
            <w:tcBorders>
              <w:top w:val="nil"/>
              <w:left w:val="nil"/>
              <w:bottom w:val="single" w:color="auto" w:sz="4" w:space="0"/>
              <w:right w:val="single" w:color="auto" w:sz="4" w:space="0"/>
            </w:tcBorders>
            <w:shd w:val="clear" w:color="auto" w:fill="auto"/>
            <w:vAlign w:val="center"/>
          </w:tcPr>
          <w:p w14:paraId="0B59D17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 报告自动生成（含异常指标提示）</w:t>
            </w:r>
          </w:p>
        </w:tc>
      </w:tr>
      <w:tr w14:paraId="414CB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480" w:type="dxa"/>
            <w:vMerge w:val="continue"/>
            <w:tcBorders>
              <w:top w:val="nil"/>
              <w:left w:val="single" w:color="auto" w:sz="4" w:space="0"/>
              <w:bottom w:val="single" w:color="000000" w:sz="4" w:space="0"/>
              <w:right w:val="single" w:color="auto" w:sz="4" w:space="0"/>
            </w:tcBorders>
            <w:shd w:val="clear" w:color="auto" w:fill="auto"/>
            <w:vAlign w:val="center"/>
          </w:tcPr>
          <w:p w14:paraId="253A09A4">
            <w:pPr>
              <w:jc w:val="center"/>
              <w:rPr>
                <w:rFonts w:hint="eastAsia" w:ascii="宋体" w:hAnsi="宋体" w:eastAsia="宋体" w:cs="宋体"/>
                <w:i w:val="0"/>
                <w:iCs w:val="0"/>
                <w:color w:val="000000"/>
                <w:sz w:val="22"/>
                <w:szCs w:val="22"/>
                <w:highlight w:val="none"/>
                <w:u w:val="none"/>
              </w:rPr>
            </w:pPr>
          </w:p>
        </w:tc>
        <w:tc>
          <w:tcPr>
            <w:tcW w:w="7960" w:type="dxa"/>
            <w:tcBorders>
              <w:top w:val="nil"/>
              <w:left w:val="nil"/>
              <w:bottom w:val="single" w:color="auto" w:sz="4" w:space="0"/>
              <w:right w:val="single" w:color="auto" w:sz="4" w:space="0"/>
            </w:tcBorders>
            <w:shd w:val="clear" w:color="auto" w:fill="auto"/>
            <w:vAlign w:val="center"/>
          </w:tcPr>
          <w:p w14:paraId="778737C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2.7电子签名归档</w:t>
            </w:r>
          </w:p>
        </w:tc>
      </w:tr>
      <w:tr w14:paraId="04D53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480" w:type="dxa"/>
            <w:vMerge w:val="continue"/>
            <w:tcBorders>
              <w:top w:val="nil"/>
              <w:left w:val="single" w:color="auto" w:sz="4" w:space="0"/>
              <w:bottom w:val="single" w:color="000000" w:sz="4" w:space="0"/>
              <w:right w:val="single" w:color="auto" w:sz="4" w:space="0"/>
            </w:tcBorders>
            <w:shd w:val="clear" w:color="auto" w:fill="auto"/>
            <w:vAlign w:val="center"/>
          </w:tcPr>
          <w:p w14:paraId="21949BA1">
            <w:pPr>
              <w:jc w:val="center"/>
              <w:rPr>
                <w:rFonts w:hint="eastAsia" w:ascii="宋体" w:hAnsi="宋体" w:eastAsia="宋体" w:cs="宋体"/>
                <w:i w:val="0"/>
                <w:iCs w:val="0"/>
                <w:color w:val="000000"/>
                <w:sz w:val="22"/>
                <w:szCs w:val="22"/>
                <w:highlight w:val="none"/>
                <w:u w:val="none"/>
              </w:rPr>
            </w:pPr>
          </w:p>
        </w:tc>
        <w:tc>
          <w:tcPr>
            <w:tcW w:w="7960" w:type="dxa"/>
            <w:tcBorders>
              <w:top w:val="nil"/>
              <w:left w:val="nil"/>
              <w:bottom w:val="single" w:color="auto" w:sz="4" w:space="0"/>
              <w:right w:val="single" w:color="auto" w:sz="4" w:space="0"/>
            </w:tcBorders>
            <w:shd w:val="clear" w:color="auto" w:fill="auto"/>
            <w:vAlign w:val="center"/>
          </w:tcPr>
          <w:p w14:paraId="407F90A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2.8支持打印缴费单、体检指引单、条码标签、申请单单据、费用清单等</w:t>
            </w:r>
          </w:p>
        </w:tc>
      </w:tr>
      <w:tr w14:paraId="521CB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480" w:type="dxa"/>
            <w:vMerge w:val="continue"/>
            <w:tcBorders>
              <w:top w:val="nil"/>
              <w:left w:val="single" w:color="auto" w:sz="4" w:space="0"/>
              <w:bottom w:val="single" w:color="000000" w:sz="4" w:space="0"/>
              <w:right w:val="single" w:color="auto" w:sz="4" w:space="0"/>
            </w:tcBorders>
            <w:shd w:val="clear" w:color="auto" w:fill="auto"/>
            <w:vAlign w:val="center"/>
          </w:tcPr>
          <w:p w14:paraId="241CBD08">
            <w:pPr>
              <w:jc w:val="center"/>
              <w:rPr>
                <w:rFonts w:hint="eastAsia" w:ascii="宋体" w:hAnsi="宋体" w:eastAsia="宋体" w:cs="宋体"/>
                <w:i w:val="0"/>
                <w:iCs w:val="0"/>
                <w:color w:val="000000"/>
                <w:sz w:val="22"/>
                <w:szCs w:val="22"/>
                <w:highlight w:val="none"/>
                <w:u w:val="none"/>
              </w:rPr>
            </w:pPr>
          </w:p>
        </w:tc>
        <w:tc>
          <w:tcPr>
            <w:tcW w:w="7960" w:type="dxa"/>
            <w:tcBorders>
              <w:top w:val="nil"/>
              <w:left w:val="nil"/>
              <w:bottom w:val="single" w:color="auto" w:sz="4" w:space="0"/>
              <w:right w:val="single" w:color="auto" w:sz="4" w:space="0"/>
            </w:tcBorders>
            <w:shd w:val="clear" w:color="auto" w:fill="auto"/>
            <w:vAlign w:val="center"/>
          </w:tcPr>
          <w:p w14:paraId="0B0A8B7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2.9系统自动带出相关打印的内容，样式可通过系统自带的设计器生成</w:t>
            </w:r>
          </w:p>
        </w:tc>
      </w:tr>
      <w:tr w14:paraId="6A734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480" w:type="dxa"/>
            <w:vMerge w:val="restart"/>
            <w:tcBorders>
              <w:top w:val="nil"/>
              <w:left w:val="single" w:color="auto" w:sz="4" w:space="0"/>
              <w:bottom w:val="single" w:color="auto" w:sz="4" w:space="0"/>
              <w:right w:val="single" w:color="auto" w:sz="4" w:space="0"/>
            </w:tcBorders>
            <w:shd w:val="clear" w:color="auto" w:fill="auto"/>
            <w:vAlign w:val="center"/>
          </w:tcPr>
          <w:p w14:paraId="63B8AA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3.职业健康体检</w:t>
            </w:r>
          </w:p>
        </w:tc>
        <w:tc>
          <w:tcPr>
            <w:tcW w:w="7960" w:type="dxa"/>
            <w:tcBorders>
              <w:top w:val="nil"/>
              <w:left w:val="nil"/>
              <w:bottom w:val="single" w:color="auto" w:sz="4" w:space="0"/>
              <w:right w:val="single" w:color="auto" w:sz="4" w:space="0"/>
            </w:tcBorders>
            <w:shd w:val="clear" w:color="auto" w:fill="auto"/>
            <w:vAlign w:val="center"/>
          </w:tcPr>
          <w:p w14:paraId="746B3D29">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▲3.1 根据从事行业及接触种类自动匹配必检项目</w:t>
            </w:r>
          </w:p>
        </w:tc>
      </w:tr>
      <w:tr w14:paraId="0B601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80" w:type="dxa"/>
            <w:vMerge w:val="continue"/>
            <w:tcBorders>
              <w:top w:val="nil"/>
              <w:left w:val="single" w:color="auto" w:sz="4" w:space="0"/>
              <w:bottom w:val="single" w:color="auto" w:sz="4" w:space="0"/>
              <w:right w:val="single" w:color="auto" w:sz="4" w:space="0"/>
            </w:tcBorders>
            <w:shd w:val="clear" w:color="auto" w:fill="auto"/>
            <w:vAlign w:val="center"/>
          </w:tcPr>
          <w:p w14:paraId="3A22BB23">
            <w:pPr>
              <w:jc w:val="center"/>
              <w:rPr>
                <w:rFonts w:hint="eastAsia" w:ascii="宋体" w:hAnsi="宋体" w:eastAsia="宋体" w:cs="宋体"/>
                <w:i w:val="0"/>
                <w:iCs w:val="0"/>
                <w:color w:val="000000"/>
                <w:sz w:val="22"/>
                <w:szCs w:val="22"/>
                <w:highlight w:val="none"/>
                <w:u w:val="none"/>
              </w:rPr>
            </w:pPr>
          </w:p>
        </w:tc>
        <w:tc>
          <w:tcPr>
            <w:tcW w:w="7960" w:type="dxa"/>
            <w:tcBorders>
              <w:top w:val="nil"/>
              <w:left w:val="nil"/>
              <w:bottom w:val="single" w:color="auto" w:sz="4" w:space="0"/>
              <w:right w:val="single" w:color="auto" w:sz="4" w:space="0"/>
            </w:tcBorders>
            <w:shd w:val="clear" w:color="auto" w:fill="auto"/>
            <w:vAlign w:val="center"/>
          </w:tcPr>
          <w:p w14:paraId="1C40BDF7">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▲3.2 对接企业职业病危害因素库，支持录入危害因素自动带出对应套餐项目，并会自动过滤重复项目</w:t>
            </w:r>
          </w:p>
        </w:tc>
      </w:tr>
      <w:tr w14:paraId="1BB0F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480" w:type="dxa"/>
            <w:vMerge w:val="continue"/>
            <w:tcBorders>
              <w:top w:val="nil"/>
              <w:left w:val="single" w:color="auto" w:sz="4" w:space="0"/>
              <w:bottom w:val="single" w:color="auto" w:sz="4" w:space="0"/>
              <w:right w:val="single" w:color="auto" w:sz="4" w:space="0"/>
            </w:tcBorders>
            <w:shd w:val="clear" w:color="auto" w:fill="auto"/>
            <w:vAlign w:val="center"/>
          </w:tcPr>
          <w:p w14:paraId="5C692AB3">
            <w:pPr>
              <w:jc w:val="center"/>
              <w:rPr>
                <w:rFonts w:hint="eastAsia" w:ascii="宋体" w:hAnsi="宋体" w:eastAsia="宋体" w:cs="宋体"/>
                <w:i w:val="0"/>
                <w:iCs w:val="0"/>
                <w:color w:val="000000"/>
                <w:sz w:val="22"/>
                <w:szCs w:val="22"/>
                <w:highlight w:val="none"/>
                <w:u w:val="none"/>
              </w:rPr>
            </w:pPr>
          </w:p>
        </w:tc>
        <w:tc>
          <w:tcPr>
            <w:tcW w:w="7960" w:type="dxa"/>
            <w:tcBorders>
              <w:top w:val="nil"/>
              <w:left w:val="nil"/>
              <w:bottom w:val="single" w:color="auto" w:sz="4" w:space="0"/>
              <w:right w:val="single" w:color="auto" w:sz="4" w:space="0"/>
            </w:tcBorders>
            <w:shd w:val="clear" w:color="auto" w:fill="auto"/>
            <w:vAlign w:val="center"/>
          </w:tcPr>
          <w:p w14:paraId="7852AD8C">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▲3.3 生成职业体检报告并推送至‌省级职业体检平台</w:t>
            </w:r>
          </w:p>
        </w:tc>
      </w:tr>
      <w:tr w14:paraId="0B0A0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80" w:type="dxa"/>
            <w:vMerge w:val="continue"/>
            <w:tcBorders>
              <w:top w:val="nil"/>
              <w:left w:val="single" w:color="auto" w:sz="4" w:space="0"/>
              <w:bottom w:val="single" w:color="auto" w:sz="4" w:space="0"/>
              <w:right w:val="single" w:color="auto" w:sz="4" w:space="0"/>
            </w:tcBorders>
            <w:shd w:val="clear" w:color="auto" w:fill="auto"/>
            <w:vAlign w:val="center"/>
          </w:tcPr>
          <w:p w14:paraId="33B6668B">
            <w:pPr>
              <w:jc w:val="center"/>
              <w:rPr>
                <w:rFonts w:hint="eastAsia" w:ascii="宋体" w:hAnsi="宋体" w:eastAsia="宋体" w:cs="宋体"/>
                <w:i w:val="0"/>
                <w:iCs w:val="0"/>
                <w:color w:val="000000"/>
                <w:sz w:val="22"/>
                <w:szCs w:val="22"/>
                <w:highlight w:val="none"/>
                <w:u w:val="none"/>
              </w:rPr>
            </w:pPr>
          </w:p>
        </w:tc>
        <w:tc>
          <w:tcPr>
            <w:tcW w:w="7960" w:type="dxa"/>
            <w:tcBorders>
              <w:top w:val="nil"/>
              <w:left w:val="nil"/>
              <w:bottom w:val="single" w:color="auto" w:sz="4" w:space="0"/>
              <w:right w:val="single" w:color="auto" w:sz="4" w:space="0"/>
            </w:tcBorders>
            <w:shd w:val="clear" w:color="auto" w:fill="auto"/>
            <w:vAlign w:val="center"/>
          </w:tcPr>
          <w:p w14:paraId="0D9DB21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 可通过高拍仪或扫描仪来保存企业或个人资料，并入档案，在打印报告时可以统一一起打印。</w:t>
            </w:r>
          </w:p>
        </w:tc>
      </w:tr>
      <w:tr w14:paraId="5E98A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480" w:type="dxa"/>
            <w:vMerge w:val="restart"/>
            <w:tcBorders>
              <w:top w:val="nil"/>
              <w:left w:val="single" w:color="auto" w:sz="4" w:space="0"/>
              <w:bottom w:val="single" w:color="auto" w:sz="4" w:space="0"/>
              <w:right w:val="single" w:color="auto" w:sz="4" w:space="0"/>
            </w:tcBorders>
            <w:shd w:val="clear" w:color="auto" w:fill="auto"/>
            <w:vAlign w:val="center"/>
          </w:tcPr>
          <w:p w14:paraId="6504FE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4.健康证管理</w:t>
            </w:r>
          </w:p>
        </w:tc>
        <w:tc>
          <w:tcPr>
            <w:tcW w:w="7960" w:type="dxa"/>
            <w:tcBorders>
              <w:top w:val="nil"/>
              <w:left w:val="nil"/>
              <w:bottom w:val="single" w:color="auto" w:sz="4" w:space="0"/>
              <w:right w:val="single" w:color="auto" w:sz="4" w:space="0"/>
            </w:tcBorders>
            <w:shd w:val="clear" w:color="auto" w:fill="auto"/>
            <w:vAlign w:val="center"/>
          </w:tcPr>
          <w:p w14:paraId="613FEFBD">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▲4.1 自动核验从业人员信息</w:t>
            </w:r>
          </w:p>
        </w:tc>
      </w:tr>
      <w:tr w14:paraId="1F42B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480" w:type="dxa"/>
            <w:vMerge w:val="continue"/>
            <w:tcBorders>
              <w:top w:val="nil"/>
              <w:left w:val="single" w:color="auto" w:sz="4" w:space="0"/>
              <w:bottom w:val="single" w:color="auto" w:sz="4" w:space="0"/>
              <w:right w:val="single" w:color="auto" w:sz="4" w:space="0"/>
            </w:tcBorders>
            <w:shd w:val="clear" w:color="auto" w:fill="auto"/>
            <w:vAlign w:val="center"/>
          </w:tcPr>
          <w:p w14:paraId="765832F4">
            <w:pPr>
              <w:jc w:val="center"/>
              <w:rPr>
                <w:rFonts w:hint="eastAsia" w:ascii="宋体" w:hAnsi="宋体" w:eastAsia="宋体" w:cs="宋体"/>
                <w:i w:val="0"/>
                <w:iCs w:val="0"/>
                <w:color w:val="000000"/>
                <w:sz w:val="22"/>
                <w:szCs w:val="22"/>
                <w:highlight w:val="none"/>
                <w:u w:val="none"/>
              </w:rPr>
            </w:pPr>
          </w:p>
        </w:tc>
        <w:tc>
          <w:tcPr>
            <w:tcW w:w="7960" w:type="dxa"/>
            <w:tcBorders>
              <w:top w:val="nil"/>
              <w:left w:val="nil"/>
              <w:bottom w:val="single" w:color="auto" w:sz="4" w:space="0"/>
              <w:right w:val="single" w:color="auto" w:sz="4" w:space="0"/>
            </w:tcBorders>
            <w:shd w:val="clear" w:color="auto" w:fill="auto"/>
            <w:vAlign w:val="center"/>
          </w:tcPr>
          <w:p w14:paraId="6A4B9DD3">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▲4.2 审核通过后同步数据至‌健康证平台</w:t>
            </w:r>
          </w:p>
        </w:tc>
      </w:tr>
      <w:tr w14:paraId="6AF2D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480" w:type="dxa"/>
            <w:vMerge w:val="continue"/>
            <w:tcBorders>
              <w:top w:val="nil"/>
              <w:left w:val="single" w:color="auto" w:sz="4" w:space="0"/>
              <w:bottom w:val="single" w:color="auto" w:sz="4" w:space="0"/>
              <w:right w:val="single" w:color="auto" w:sz="4" w:space="0"/>
            </w:tcBorders>
            <w:shd w:val="clear" w:color="auto" w:fill="auto"/>
            <w:vAlign w:val="center"/>
          </w:tcPr>
          <w:p w14:paraId="39C02167">
            <w:pPr>
              <w:jc w:val="center"/>
              <w:rPr>
                <w:rFonts w:hint="eastAsia" w:ascii="宋体" w:hAnsi="宋体" w:eastAsia="宋体" w:cs="宋体"/>
                <w:i w:val="0"/>
                <w:iCs w:val="0"/>
                <w:color w:val="000000"/>
                <w:sz w:val="22"/>
                <w:szCs w:val="22"/>
                <w:highlight w:val="none"/>
                <w:u w:val="none"/>
              </w:rPr>
            </w:pPr>
          </w:p>
        </w:tc>
        <w:tc>
          <w:tcPr>
            <w:tcW w:w="7960" w:type="dxa"/>
            <w:tcBorders>
              <w:top w:val="nil"/>
              <w:left w:val="nil"/>
              <w:bottom w:val="single" w:color="auto" w:sz="4" w:space="0"/>
              <w:right w:val="single" w:color="auto" w:sz="4" w:space="0"/>
            </w:tcBorders>
            <w:shd w:val="clear" w:color="auto" w:fill="auto"/>
            <w:vAlign w:val="center"/>
          </w:tcPr>
          <w:p w14:paraId="14449C1E">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▲4.3 支持电子健康证打印</w:t>
            </w:r>
          </w:p>
        </w:tc>
      </w:tr>
      <w:tr w14:paraId="419E4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480" w:type="dxa"/>
            <w:tcBorders>
              <w:top w:val="nil"/>
              <w:left w:val="single" w:color="auto" w:sz="4" w:space="0"/>
              <w:bottom w:val="single" w:color="auto" w:sz="4" w:space="0"/>
              <w:right w:val="single" w:color="auto" w:sz="4" w:space="0"/>
            </w:tcBorders>
            <w:shd w:val="clear" w:color="auto" w:fill="auto"/>
            <w:vAlign w:val="center"/>
          </w:tcPr>
          <w:p w14:paraId="346267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5.条码打印</w:t>
            </w:r>
          </w:p>
        </w:tc>
        <w:tc>
          <w:tcPr>
            <w:tcW w:w="7960" w:type="dxa"/>
            <w:tcBorders>
              <w:top w:val="nil"/>
              <w:left w:val="nil"/>
              <w:bottom w:val="single" w:color="auto" w:sz="4" w:space="0"/>
              <w:right w:val="single" w:color="auto" w:sz="4" w:space="0"/>
            </w:tcBorders>
            <w:shd w:val="clear" w:color="auto" w:fill="auto"/>
            <w:vAlign w:val="center"/>
          </w:tcPr>
          <w:p w14:paraId="4793924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5.1 具有团检是否自动报到打印、外检报到不打印及重发检验信息等选择功能</w:t>
            </w:r>
          </w:p>
        </w:tc>
      </w:tr>
      <w:tr w14:paraId="33708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480" w:type="dxa"/>
            <w:vMerge w:val="restart"/>
            <w:tcBorders>
              <w:top w:val="nil"/>
              <w:left w:val="single" w:color="auto" w:sz="4" w:space="0"/>
              <w:bottom w:val="single" w:color="auto" w:sz="4" w:space="0"/>
              <w:right w:val="single" w:color="auto" w:sz="4" w:space="0"/>
            </w:tcBorders>
            <w:shd w:val="clear" w:color="auto" w:fill="auto"/>
            <w:vAlign w:val="center"/>
          </w:tcPr>
          <w:p w14:paraId="5743F8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6.医生工作站</w:t>
            </w:r>
          </w:p>
        </w:tc>
        <w:tc>
          <w:tcPr>
            <w:tcW w:w="7960" w:type="dxa"/>
            <w:tcBorders>
              <w:top w:val="nil"/>
              <w:left w:val="nil"/>
              <w:bottom w:val="single" w:color="auto" w:sz="4" w:space="0"/>
              <w:right w:val="single" w:color="auto" w:sz="4" w:space="0"/>
            </w:tcBorders>
            <w:shd w:val="clear" w:color="auto" w:fill="auto"/>
            <w:vAlign w:val="center"/>
          </w:tcPr>
          <w:p w14:paraId="2B59D8B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 体检医生可通过权限快速查询及录入所在体检科室的体检结果</w:t>
            </w:r>
          </w:p>
        </w:tc>
      </w:tr>
      <w:tr w14:paraId="67B7A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480" w:type="dxa"/>
            <w:vMerge w:val="continue"/>
            <w:tcBorders>
              <w:top w:val="nil"/>
              <w:left w:val="single" w:color="auto" w:sz="4" w:space="0"/>
              <w:bottom w:val="single" w:color="auto" w:sz="4" w:space="0"/>
              <w:right w:val="single" w:color="auto" w:sz="4" w:space="0"/>
            </w:tcBorders>
            <w:shd w:val="clear" w:color="auto" w:fill="auto"/>
            <w:vAlign w:val="center"/>
          </w:tcPr>
          <w:p w14:paraId="3B0C1025">
            <w:pPr>
              <w:jc w:val="center"/>
              <w:rPr>
                <w:rFonts w:hint="eastAsia" w:ascii="宋体" w:hAnsi="宋体" w:eastAsia="宋体" w:cs="宋体"/>
                <w:i w:val="0"/>
                <w:iCs w:val="0"/>
                <w:color w:val="000000"/>
                <w:sz w:val="22"/>
                <w:szCs w:val="22"/>
                <w:highlight w:val="none"/>
                <w:u w:val="none"/>
              </w:rPr>
            </w:pPr>
          </w:p>
        </w:tc>
        <w:tc>
          <w:tcPr>
            <w:tcW w:w="7960" w:type="dxa"/>
            <w:tcBorders>
              <w:top w:val="nil"/>
              <w:left w:val="nil"/>
              <w:bottom w:val="single" w:color="auto" w:sz="4" w:space="0"/>
              <w:right w:val="single" w:color="auto" w:sz="4" w:space="0"/>
            </w:tcBorders>
            <w:shd w:val="clear" w:color="auto" w:fill="auto"/>
            <w:vAlign w:val="center"/>
          </w:tcPr>
          <w:p w14:paraId="7B59BFD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 能在医生工作站看到体检人员的照片</w:t>
            </w:r>
          </w:p>
        </w:tc>
      </w:tr>
      <w:tr w14:paraId="0D109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80" w:type="dxa"/>
            <w:vMerge w:val="continue"/>
            <w:tcBorders>
              <w:top w:val="nil"/>
              <w:left w:val="single" w:color="auto" w:sz="4" w:space="0"/>
              <w:bottom w:val="single" w:color="auto" w:sz="4" w:space="0"/>
              <w:right w:val="single" w:color="auto" w:sz="4" w:space="0"/>
            </w:tcBorders>
            <w:shd w:val="clear" w:color="auto" w:fill="auto"/>
            <w:vAlign w:val="center"/>
          </w:tcPr>
          <w:p w14:paraId="479DE505">
            <w:pPr>
              <w:jc w:val="center"/>
              <w:rPr>
                <w:rFonts w:hint="eastAsia" w:ascii="宋体" w:hAnsi="宋体" w:eastAsia="宋体" w:cs="宋体"/>
                <w:i w:val="0"/>
                <w:iCs w:val="0"/>
                <w:color w:val="000000"/>
                <w:sz w:val="22"/>
                <w:szCs w:val="22"/>
                <w:highlight w:val="none"/>
                <w:u w:val="none"/>
              </w:rPr>
            </w:pPr>
          </w:p>
        </w:tc>
        <w:tc>
          <w:tcPr>
            <w:tcW w:w="7960" w:type="dxa"/>
            <w:tcBorders>
              <w:top w:val="nil"/>
              <w:left w:val="nil"/>
              <w:bottom w:val="single" w:color="auto" w:sz="4" w:space="0"/>
              <w:right w:val="single" w:color="auto" w:sz="4" w:space="0"/>
            </w:tcBorders>
            <w:shd w:val="clear" w:color="auto" w:fill="auto"/>
            <w:vAlign w:val="center"/>
          </w:tcPr>
          <w:p w14:paraId="0EF9F4B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 具有智能排检系统，能在检查完后自动算出去哪个科室检查最快，并有呼叫下一个的功能按键</w:t>
            </w:r>
          </w:p>
        </w:tc>
      </w:tr>
      <w:tr w14:paraId="7002B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480" w:type="dxa"/>
            <w:vMerge w:val="continue"/>
            <w:tcBorders>
              <w:top w:val="nil"/>
              <w:left w:val="single" w:color="auto" w:sz="4" w:space="0"/>
              <w:bottom w:val="single" w:color="auto" w:sz="4" w:space="0"/>
              <w:right w:val="single" w:color="auto" w:sz="4" w:space="0"/>
            </w:tcBorders>
            <w:shd w:val="clear" w:color="auto" w:fill="auto"/>
            <w:vAlign w:val="center"/>
          </w:tcPr>
          <w:p w14:paraId="6D4847B3">
            <w:pPr>
              <w:jc w:val="center"/>
              <w:rPr>
                <w:rFonts w:hint="eastAsia" w:ascii="宋体" w:hAnsi="宋体" w:eastAsia="宋体" w:cs="宋体"/>
                <w:i w:val="0"/>
                <w:iCs w:val="0"/>
                <w:color w:val="000000"/>
                <w:sz w:val="22"/>
                <w:szCs w:val="22"/>
                <w:highlight w:val="none"/>
                <w:u w:val="none"/>
              </w:rPr>
            </w:pPr>
          </w:p>
        </w:tc>
        <w:tc>
          <w:tcPr>
            <w:tcW w:w="7960" w:type="dxa"/>
            <w:tcBorders>
              <w:top w:val="nil"/>
              <w:left w:val="nil"/>
              <w:bottom w:val="single" w:color="auto" w:sz="4" w:space="0"/>
              <w:right w:val="single" w:color="auto" w:sz="4" w:space="0"/>
            </w:tcBorders>
            <w:shd w:val="clear" w:color="auto" w:fill="auto"/>
            <w:vAlign w:val="center"/>
          </w:tcPr>
          <w:p w14:paraId="48E1905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6.4 根据检查结果自动生成小结</w:t>
            </w:r>
          </w:p>
        </w:tc>
      </w:tr>
      <w:tr w14:paraId="165D9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80" w:type="dxa"/>
            <w:vMerge w:val="continue"/>
            <w:tcBorders>
              <w:top w:val="nil"/>
              <w:left w:val="single" w:color="auto" w:sz="4" w:space="0"/>
              <w:bottom w:val="single" w:color="auto" w:sz="4" w:space="0"/>
              <w:right w:val="single" w:color="auto" w:sz="4" w:space="0"/>
            </w:tcBorders>
            <w:shd w:val="clear" w:color="auto" w:fill="auto"/>
            <w:vAlign w:val="center"/>
          </w:tcPr>
          <w:p w14:paraId="06FB2936">
            <w:pPr>
              <w:jc w:val="center"/>
              <w:rPr>
                <w:rFonts w:hint="eastAsia" w:ascii="宋体" w:hAnsi="宋体" w:eastAsia="宋体" w:cs="宋体"/>
                <w:i w:val="0"/>
                <w:iCs w:val="0"/>
                <w:color w:val="000000"/>
                <w:sz w:val="22"/>
                <w:szCs w:val="22"/>
                <w:highlight w:val="none"/>
                <w:u w:val="none"/>
              </w:rPr>
            </w:pPr>
          </w:p>
        </w:tc>
        <w:tc>
          <w:tcPr>
            <w:tcW w:w="7960" w:type="dxa"/>
            <w:tcBorders>
              <w:top w:val="nil"/>
              <w:left w:val="nil"/>
              <w:bottom w:val="single" w:color="auto" w:sz="4" w:space="0"/>
              <w:right w:val="single" w:color="auto" w:sz="4" w:space="0"/>
            </w:tcBorders>
            <w:shd w:val="clear" w:color="auto" w:fill="auto"/>
            <w:vAlign w:val="center"/>
          </w:tcPr>
          <w:p w14:paraId="59A6A94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6.5 听力医生工作站，系统会自动生成校正数据、自动绘制曲线图，自动进行结果判断生成小结。</w:t>
            </w:r>
          </w:p>
        </w:tc>
      </w:tr>
      <w:tr w14:paraId="2A9A1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480" w:type="dxa"/>
            <w:vMerge w:val="restart"/>
            <w:tcBorders>
              <w:top w:val="nil"/>
              <w:left w:val="single" w:color="auto" w:sz="4" w:space="0"/>
              <w:bottom w:val="single" w:color="auto" w:sz="4" w:space="0"/>
              <w:right w:val="single" w:color="auto" w:sz="4" w:space="0"/>
            </w:tcBorders>
            <w:shd w:val="clear" w:color="auto" w:fill="auto"/>
            <w:vAlign w:val="center"/>
          </w:tcPr>
          <w:p w14:paraId="5F832F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7.结果录入</w:t>
            </w:r>
          </w:p>
        </w:tc>
        <w:tc>
          <w:tcPr>
            <w:tcW w:w="7960" w:type="dxa"/>
            <w:tcBorders>
              <w:top w:val="nil"/>
              <w:left w:val="nil"/>
              <w:bottom w:val="single" w:color="auto" w:sz="4" w:space="0"/>
              <w:right w:val="single" w:color="auto" w:sz="4" w:space="0"/>
            </w:tcBorders>
            <w:shd w:val="clear" w:color="auto" w:fill="auto"/>
            <w:vAlign w:val="center"/>
          </w:tcPr>
          <w:p w14:paraId="48F5A35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7.1 可录入所有体检项目的结果及接收检验、影像等相关结果</w:t>
            </w:r>
          </w:p>
        </w:tc>
      </w:tr>
      <w:tr w14:paraId="37433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480" w:type="dxa"/>
            <w:vMerge w:val="continue"/>
            <w:tcBorders>
              <w:top w:val="nil"/>
              <w:left w:val="single" w:color="auto" w:sz="4" w:space="0"/>
              <w:bottom w:val="single" w:color="auto" w:sz="4" w:space="0"/>
              <w:right w:val="single" w:color="auto" w:sz="4" w:space="0"/>
            </w:tcBorders>
            <w:shd w:val="clear" w:color="auto" w:fill="auto"/>
            <w:vAlign w:val="center"/>
          </w:tcPr>
          <w:p w14:paraId="6756E8E6">
            <w:pPr>
              <w:jc w:val="center"/>
              <w:rPr>
                <w:rFonts w:hint="eastAsia" w:ascii="宋体" w:hAnsi="宋体" w:eastAsia="宋体" w:cs="宋体"/>
                <w:i w:val="0"/>
                <w:iCs w:val="0"/>
                <w:color w:val="000000"/>
                <w:sz w:val="22"/>
                <w:szCs w:val="22"/>
                <w:highlight w:val="none"/>
                <w:u w:val="none"/>
              </w:rPr>
            </w:pPr>
          </w:p>
        </w:tc>
        <w:tc>
          <w:tcPr>
            <w:tcW w:w="7960" w:type="dxa"/>
            <w:tcBorders>
              <w:top w:val="nil"/>
              <w:left w:val="nil"/>
              <w:bottom w:val="single" w:color="auto" w:sz="4" w:space="0"/>
              <w:right w:val="single" w:color="auto" w:sz="4" w:space="0"/>
            </w:tcBorders>
            <w:shd w:val="clear" w:color="auto" w:fill="auto"/>
            <w:vAlign w:val="center"/>
          </w:tcPr>
          <w:p w14:paraId="724A58D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7.2 报告明细中属于接收数据部分的内容需要加以区分</w:t>
            </w:r>
          </w:p>
        </w:tc>
      </w:tr>
      <w:tr w14:paraId="11943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480" w:type="dxa"/>
            <w:tcBorders>
              <w:top w:val="nil"/>
              <w:left w:val="single" w:color="auto" w:sz="4" w:space="0"/>
              <w:bottom w:val="single" w:color="auto" w:sz="4" w:space="0"/>
              <w:right w:val="single" w:color="auto" w:sz="4" w:space="0"/>
            </w:tcBorders>
            <w:shd w:val="clear" w:color="auto" w:fill="auto"/>
            <w:vAlign w:val="center"/>
          </w:tcPr>
          <w:p w14:paraId="775885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8.主检审核</w:t>
            </w:r>
          </w:p>
        </w:tc>
        <w:tc>
          <w:tcPr>
            <w:tcW w:w="7960" w:type="dxa"/>
            <w:tcBorders>
              <w:top w:val="nil"/>
              <w:left w:val="nil"/>
              <w:bottom w:val="single" w:color="auto" w:sz="4" w:space="0"/>
              <w:right w:val="single" w:color="auto" w:sz="4" w:space="0"/>
            </w:tcBorders>
            <w:shd w:val="clear" w:color="auto" w:fill="auto"/>
            <w:vAlign w:val="center"/>
          </w:tcPr>
          <w:p w14:paraId="305C3EE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8.1 自动生成结论和建议，主检医生只需要根据综合情况进行适当修改</w:t>
            </w:r>
          </w:p>
        </w:tc>
      </w:tr>
      <w:tr w14:paraId="691C1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480" w:type="dxa"/>
            <w:vMerge w:val="restart"/>
            <w:tcBorders>
              <w:top w:val="nil"/>
              <w:left w:val="single" w:color="auto" w:sz="4" w:space="0"/>
              <w:bottom w:val="single" w:color="auto" w:sz="4" w:space="0"/>
              <w:right w:val="single" w:color="auto" w:sz="4" w:space="0"/>
            </w:tcBorders>
            <w:shd w:val="clear" w:color="auto" w:fill="auto"/>
            <w:vAlign w:val="center"/>
          </w:tcPr>
          <w:p w14:paraId="6E6D02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9.数据查询</w:t>
            </w:r>
          </w:p>
        </w:tc>
        <w:tc>
          <w:tcPr>
            <w:tcW w:w="7960" w:type="dxa"/>
            <w:tcBorders>
              <w:top w:val="nil"/>
              <w:left w:val="nil"/>
              <w:bottom w:val="single" w:color="auto" w:sz="4" w:space="0"/>
              <w:right w:val="single" w:color="auto" w:sz="4" w:space="0"/>
            </w:tcBorders>
            <w:shd w:val="clear" w:color="auto" w:fill="auto"/>
            <w:vAlign w:val="center"/>
          </w:tcPr>
          <w:p w14:paraId="46AA2A8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9.1 可采用多种查询方式进行体检综合查询和体检报告查询</w:t>
            </w:r>
          </w:p>
        </w:tc>
      </w:tr>
      <w:tr w14:paraId="5F3BB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480" w:type="dxa"/>
            <w:vMerge w:val="continue"/>
            <w:tcBorders>
              <w:top w:val="nil"/>
              <w:left w:val="single" w:color="auto" w:sz="4" w:space="0"/>
              <w:bottom w:val="single" w:color="auto" w:sz="4" w:space="0"/>
              <w:right w:val="single" w:color="auto" w:sz="4" w:space="0"/>
            </w:tcBorders>
            <w:shd w:val="clear" w:color="auto" w:fill="auto"/>
            <w:vAlign w:val="center"/>
          </w:tcPr>
          <w:p w14:paraId="03257B14">
            <w:pPr>
              <w:jc w:val="center"/>
              <w:rPr>
                <w:rFonts w:hint="eastAsia" w:ascii="宋体" w:hAnsi="宋体" w:eastAsia="宋体" w:cs="宋体"/>
                <w:i w:val="0"/>
                <w:iCs w:val="0"/>
                <w:color w:val="000000"/>
                <w:sz w:val="22"/>
                <w:szCs w:val="22"/>
                <w:highlight w:val="none"/>
                <w:u w:val="none"/>
              </w:rPr>
            </w:pPr>
          </w:p>
        </w:tc>
        <w:tc>
          <w:tcPr>
            <w:tcW w:w="7960" w:type="dxa"/>
            <w:tcBorders>
              <w:top w:val="nil"/>
              <w:left w:val="nil"/>
              <w:bottom w:val="single" w:color="auto" w:sz="4" w:space="0"/>
              <w:right w:val="single" w:color="auto" w:sz="4" w:space="0"/>
            </w:tcBorders>
            <w:shd w:val="clear" w:color="auto" w:fill="auto"/>
            <w:vAlign w:val="center"/>
          </w:tcPr>
          <w:p w14:paraId="5AC6F13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9.2 体检结果可以通过手机短信息发布给受检人员</w:t>
            </w:r>
          </w:p>
        </w:tc>
      </w:tr>
      <w:tr w14:paraId="2EA46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480" w:type="dxa"/>
            <w:vMerge w:val="continue"/>
            <w:tcBorders>
              <w:top w:val="nil"/>
              <w:left w:val="single" w:color="auto" w:sz="4" w:space="0"/>
              <w:bottom w:val="single" w:color="auto" w:sz="4" w:space="0"/>
              <w:right w:val="single" w:color="auto" w:sz="4" w:space="0"/>
            </w:tcBorders>
            <w:shd w:val="clear" w:color="auto" w:fill="auto"/>
            <w:vAlign w:val="center"/>
          </w:tcPr>
          <w:p w14:paraId="1630E104">
            <w:pPr>
              <w:jc w:val="center"/>
              <w:rPr>
                <w:rFonts w:hint="eastAsia" w:ascii="宋体" w:hAnsi="宋体" w:eastAsia="宋体" w:cs="宋体"/>
                <w:i w:val="0"/>
                <w:iCs w:val="0"/>
                <w:color w:val="000000"/>
                <w:sz w:val="22"/>
                <w:szCs w:val="22"/>
                <w:highlight w:val="none"/>
                <w:u w:val="none"/>
              </w:rPr>
            </w:pPr>
          </w:p>
        </w:tc>
        <w:tc>
          <w:tcPr>
            <w:tcW w:w="7960" w:type="dxa"/>
            <w:tcBorders>
              <w:top w:val="nil"/>
              <w:left w:val="nil"/>
              <w:bottom w:val="single" w:color="auto" w:sz="4" w:space="0"/>
              <w:right w:val="single" w:color="auto" w:sz="4" w:space="0"/>
            </w:tcBorders>
            <w:shd w:val="clear" w:color="auto" w:fill="auto"/>
            <w:vAlign w:val="center"/>
          </w:tcPr>
          <w:p w14:paraId="56D9393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9.3 体检人员可以通过医院网站或微信端自行查询体检结果</w:t>
            </w:r>
          </w:p>
        </w:tc>
      </w:tr>
      <w:tr w14:paraId="51EB3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480" w:type="dxa"/>
            <w:vMerge w:val="restart"/>
            <w:tcBorders>
              <w:top w:val="nil"/>
              <w:left w:val="single" w:color="auto" w:sz="4" w:space="0"/>
              <w:bottom w:val="single" w:color="auto" w:sz="4" w:space="0"/>
              <w:right w:val="single" w:color="auto" w:sz="4" w:space="0"/>
            </w:tcBorders>
            <w:shd w:val="clear" w:color="auto" w:fill="auto"/>
            <w:vAlign w:val="center"/>
          </w:tcPr>
          <w:p w14:paraId="65948F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10.生成报表</w:t>
            </w:r>
          </w:p>
        </w:tc>
        <w:tc>
          <w:tcPr>
            <w:tcW w:w="7960" w:type="dxa"/>
            <w:tcBorders>
              <w:top w:val="nil"/>
              <w:left w:val="nil"/>
              <w:bottom w:val="single" w:color="auto" w:sz="4" w:space="0"/>
              <w:right w:val="single" w:color="auto" w:sz="4" w:space="0"/>
            </w:tcBorders>
            <w:shd w:val="clear" w:color="auto" w:fill="auto"/>
            <w:vAlign w:val="center"/>
          </w:tcPr>
          <w:p w14:paraId="2231AD52">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▲10.1 自动生成单位职业病总结报告</w:t>
            </w:r>
          </w:p>
        </w:tc>
      </w:tr>
      <w:tr w14:paraId="41A0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480" w:type="dxa"/>
            <w:vMerge w:val="continue"/>
            <w:tcBorders>
              <w:top w:val="nil"/>
              <w:left w:val="single" w:color="auto" w:sz="4" w:space="0"/>
              <w:bottom w:val="single" w:color="auto" w:sz="4" w:space="0"/>
              <w:right w:val="single" w:color="auto" w:sz="4" w:space="0"/>
            </w:tcBorders>
            <w:shd w:val="clear" w:color="auto" w:fill="auto"/>
            <w:vAlign w:val="center"/>
          </w:tcPr>
          <w:p w14:paraId="5A5FF1C1">
            <w:pPr>
              <w:jc w:val="center"/>
              <w:rPr>
                <w:rFonts w:hint="eastAsia" w:ascii="宋体" w:hAnsi="宋体" w:eastAsia="宋体" w:cs="宋体"/>
                <w:i w:val="0"/>
                <w:iCs w:val="0"/>
                <w:color w:val="000000"/>
                <w:sz w:val="22"/>
                <w:szCs w:val="22"/>
                <w:highlight w:val="none"/>
                <w:u w:val="none"/>
              </w:rPr>
            </w:pPr>
          </w:p>
        </w:tc>
        <w:tc>
          <w:tcPr>
            <w:tcW w:w="7960" w:type="dxa"/>
            <w:tcBorders>
              <w:top w:val="nil"/>
              <w:left w:val="nil"/>
              <w:bottom w:val="single" w:color="auto" w:sz="4" w:space="0"/>
              <w:right w:val="single" w:color="auto" w:sz="4" w:space="0"/>
            </w:tcBorders>
            <w:shd w:val="clear" w:color="auto" w:fill="auto"/>
            <w:vAlign w:val="center"/>
          </w:tcPr>
          <w:p w14:paraId="481EA720">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▲10.2 自动生成重点职业病信息表</w:t>
            </w:r>
          </w:p>
        </w:tc>
      </w:tr>
      <w:tr w14:paraId="3DEF9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480" w:type="dxa"/>
            <w:vMerge w:val="continue"/>
            <w:tcBorders>
              <w:top w:val="nil"/>
              <w:left w:val="single" w:color="auto" w:sz="4" w:space="0"/>
              <w:bottom w:val="single" w:color="auto" w:sz="4" w:space="0"/>
              <w:right w:val="single" w:color="auto" w:sz="4" w:space="0"/>
            </w:tcBorders>
            <w:shd w:val="clear" w:color="auto" w:fill="auto"/>
            <w:vAlign w:val="center"/>
          </w:tcPr>
          <w:p w14:paraId="539A45F7">
            <w:pPr>
              <w:jc w:val="center"/>
              <w:rPr>
                <w:rFonts w:hint="eastAsia" w:ascii="宋体" w:hAnsi="宋体" w:eastAsia="宋体" w:cs="宋体"/>
                <w:i w:val="0"/>
                <w:iCs w:val="0"/>
                <w:color w:val="000000"/>
                <w:sz w:val="22"/>
                <w:szCs w:val="22"/>
                <w:highlight w:val="none"/>
                <w:u w:val="none"/>
              </w:rPr>
            </w:pPr>
          </w:p>
        </w:tc>
        <w:tc>
          <w:tcPr>
            <w:tcW w:w="7960" w:type="dxa"/>
            <w:tcBorders>
              <w:top w:val="nil"/>
              <w:left w:val="nil"/>
              <w:bottom w:val="single" w:color="auto" w:sz="4" w:space="0"/>
              <w:right w:val="single" w:color="auto" w:sz="4" w:space="0"/>
            </w:tcBorders>
            <w:shd w:val="clear" w:color="auto" w:fill="auto"/>
            <w:vAlign w:val="center"/>
          </w:tcPr>
          <w:p w14:paraId="27B16C5E">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▲10.3 自动计算电测听校正值，并自动生成图像及结论</w:t>
            </w:r>
          </w:p>
        </w:tc>
      </w:tr>
      <w:tr w14:paraId="4E60E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480" w:type="dxa"/>
            <w:vMerge w:val="continue"/>
            <w:tcBorders>
              <w:top w:val="nil"/>
              <w:left w:val="single" w:color="auto" w:sz="4" w:space="0"/>
              <w:bottom w:val="single" w:color="auto" w:sz="4" w:space="0"/>
              <w:right w:val="single" w:color="auto" w:sz="4" w:space="0"/>
            </w:tcBorders>
            <w:shd w:val="clear" w:color="auto" w:fill="auto"/>
            <w:vAlign w:val="center"/>
          </w:tcPr>
          <w:p w14:paraId="558E337A">
            <w:pPr>
              <w:jc w:val="center"/>
              <w:rPr>
                <w:rFonts w:hint="eastAsia" w:ascii="宋体" w:hAnsi="宋体" w:eastAsia="宋体" w:cs="宋体"/>
                <w:i w:val="0"/>
                <w:iCs w:val="0"/>
                <w:color w:val="000000"/>
                <w:sz w:val="22"/>
                <w:szCs w:val="22"/>
                <w:highlight w:val="none"/>
                <w:u w:val="none"/>
              </w:rPr>
            </w:pPr>
          </w:p>
        </w:tc>
        <w:tc>
          <w:tcPr>
            <w:tcW w:w="7960" w:type="dxa"/>
            <w:tcBorders>
              <w:top w:val="nil"/>
              <w:left w:val="nil"/>
              <w:bottom w:val="single" w:color="auto" w:sz="4" w:space="0"/>
              <w:right w:val="single" w:color="auto" w:sz="4" w:space="0"/>
            </w:tcBorders>
            <w:shd w:val="clear" w:color="auto" w:fill="auto"/>
            <w:vAlign w:val="center"/>
          </w:tcPr>
          <w:p w14:paraId="3602AB14">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▲10.4 体检人信息导入后自动生成对应项目</w:t>
            </w:r>
          </w:p>
        </w:tc>
      </w:tr>
      <w:tr w14:paraId="104FA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480" w:type="dxa"/>
            <w:vMerge w:val="continue"/>
            <w:tcBorders>
              <w:top w:val="nil"/>
              <w:left w:val="single" w:color="auto" w:sz="4" w:space="0"/>
              <w:bottom w:val="single" w:color="auto" w:sz="4" w:space="0"/>
              <w:right w:val="single" w:color="auto" w:sz="4" w:space="0"/>
            </w:tcBorders>
            <w:shd w:val="clear" w:color="auto" w:fill="auto"/>
            <w:vAlign w:val="center"/>
          </w:tcPr>
          <w:p w14:paraId="173D0FB4">
            <w:pPr>
              <w:jc w:val="center"/>
              <w:rPr>
                <w:rFonts w:hint="eastAsia" w:ascii="宋体" w:hAnsi="宋体" w:eastAsia="宋体" w:cs="宋体"/>
                <w:i w:val="0"/>
                <w:iCs w:val="0"/>
                <w:color w:val="000000"/>
                <w:sz w:val="22"/>
                <w:szCs w:val="22"/>
                <w:highlight w:val="none"/>
                <w:u w:val="none"/>
              </w:rPr>
            </w:pPr>
          </w:p>
        </w:tc>
        <w:tc>
          <w:tcPr>
            <w:tcW w:w="7960" w:type="dxa"/>
            <w:tcBorders>
              <w:top w:val="nil"/>
              <w:left w:val="nil"/>
              <w:bottom w:val="single" w:color="auto" w:sz="4" w:space="0"/>
              <w:right w:val="single" w:color="auto" w:sz="4" w:space="0"/>
            </w:tcBorders>
            <w:shd w:val="clear" w:color="auto" w:fill="auto"/>
            <w:vAlign w:val="center"/>
          </w:tcPr>
          <w:p w14:paraId="76AD73B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10.5 自动生成肺功能结论</w:t>
            </w:r>
          </w:p>
        </w:tc>
      </w:tr>
      <w:tr w14:paraId="3F317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480" w:type="dxa"/>
            <w:vMerge w:val="continue"/>
            <w:tcBorders>
              <w:top w:val="nil"/>
              <w:left w:val="single" w:color="auto" w:sz="4" w:space="0"/>
              <w:bottom w:val="single" w:color="auto" w:sz="4" w:space="0"/>
              <w:right w:val="single" w:color="auto" w:sz="4" w:space="0"/>
            </w:tcBorders>
            <w:shd w:val="clear" w:color="auto" w:fill="auto"/>
            <w:vAlign w:val="center"/>
          </w:tcPr>
          <w:p w14:paraId="10DCB4EE">
            <w:pPr>
              <w:jc w:val="center"/>
              <w:rPr>
                <w:rFonts w:hint="eastAsia" w:ascii="宋体" w:hAnsi="宋体" w:eastAsia="宋体" w:cs="宋体"/>
                <w:i w:val="0"/>
                <w:iCs w:val="0"/>
                <w:color w:val="000000"/>
                <w:sz w:val="22"/>
                <w:szCs w:val="22"/>
                <w:highlight w:val="none"/>
                <w:u w:val="none"/>
              </w:rPr>
            </w:pPr>
          </w:p>
        </w:tc>
        <w:tc>
          <w:tcPr>
            <w:tcW w:w="7960" w:type="dxa"/>
            <w:tcBorders>
              <w:top w:val="nil"/>
              <w:left w:val="nil"/>
              <w:bottom w:val="single" w:color="auto" w:sz="4" w:space="0"/>
              <w:right w:val="single" w:color="auto" w:sz="4" w:space="0"/>
            </w:tcBorders>
            <w:shd w:val="clear" w:color="auto" w:fill="auto"/>
            <w:vAlign w:val="center"/>
          </w:tcPr>
          <w:p w14:paraId="76EB08B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10.6 自动生成疑似职业病列表及通知书</w:t>
            </w:r>
          </w:p>
        </w:tc>
      </w:tr>
      <w:tr w14:paraId="665A8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480" w:type="dxa"/>
            <w:vMerge w:val="continue"/>
            <w:tcBorders>
              <w:top w:val="nil"/>
              <w:left w:val="single" w:color="auto" w:sz="4" w:space="0"/>
              <w:bottom w:val="single" w:color="auto" w:sz="4" w:space="0"/>
              <w:right w:val="single" w:color="auto" w:sz="4" w:space="0"/>
            </w:tcBorders>
            <w:shd w:val="clear" w:color="auto" w:fill="auto"/>
            <w:vAlign w:val="center"/>
          </w:tcPr>
          <w:p w14:paraId="09F6E484">
            <w:pPr>
              <w:jc w:val="center"/>
              <w:rPr>
                <w:rFonts w:hint="eastAsia" w:ascii="宋体" w:hAnsi="宋体" w:eastAsia="宋体" w:cs="宋体"/>
                <w:i w:val="0"/>
                <w:iCs w:val="0"/>
                <w:color w:val="000000"/>
                <w:sz w:val="22"/>
                <w:szCs w:val="22"/>
                <w:highlight w:val="none"/>
                <w:u w:val="none"/>
              </w:rPr>
            </w:pPr>
          </w:p>
        </w:tc>
        <w:tc>
          <w:tcPr>
            <w:tcW w:w="7960" w:type="dxa"/>
            <w:tcBorders>
              <w:top w:val="nil"/>
              <w:left w:val="nil"/>
              <w:bottom w:val="single" w:color="auto" w:sz="4" w:space="0"/>
              <w:right w:val="single" w:color="auto" w:sz="4" w:space="0"/>
            </w:tcBorders>
            <w:shd w:val="clear" w:color="auto" w:fill="auto"/>
            <w:vAlign w:val="center"/>
          </w:tcPr>
          <w:p w14:paraId="2940E1B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10.7 自动生成职业禁忌证列表及通知书</w:t>
            </w:r>
          </w:p>
        </w:tc>
      </w:tr>
      <w:tr w14:paraId="01136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480" w:type="dxa"/>
            <w:vMerge w:val="continue"/>
            <w:tcBorders>
              <w:top w:val="nil"/>
              <w:left w:val="single" w:color="auto" w:sz="4" w:space="0"/>
              <w:bottom w:val="single" w:color="auto" w:sz="4" w:space="0"/>
              <w:right w:val="single" w:color="auto" w:sz="4" w:space="0"/>
            </w:tcBorders>
            <w:shd w:val="clear" w:color="auto" w:fill="auto"/>
            <w:vAlign w:val="center"/>
          </w:tcPr>
          <w:p w14:paraId="15C31228">
            <w:pPr>
              <w:jc w:val="center"/>
              <w:rPr>
                <w:rFonts w:hint="eastAsia" w:ascii="宋体" w:hAnsi="宋体" w:eastAsia="宋体" w:cs="宋体"/>
                <w:i w:val="0"/>
                <w:iCs w:val="0"/>
                <w:color w:val="000000"/>
                <w:sz w:val="22"/>
                <w:szCs w:val="22"/>
                <w:highlight w:val="none"/>
                <w:u w:val="none"/>
              </w:rPr>
            </w:pPr>
          </w:p>
        </w:tc>
        <w:tc>
          <w:tcPr>
            <w:tcW w:w="7960" w:type="dxa"/>
            <w:tcBorders>
              <w:top w:val="nil"/>
              <w:left w:val="nil"/>
              <w:bottom w:val="single" w:color="auto" w:sz="4" w:space="0"/>
              <w:right w:val="single" w:color="auto" w:sz="4" w:space="0"/>
            </w:tcBorders>
            <w:shd w:val="clear" w:color="auto" w:fill="auto"/>
            <w:vAlign w:val="center"/>
          </w:tcPr>
          <w:p w14:paraId="6887FC8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10.8 自动生成复查列表及通知书</w:t>
            </w:r>
          </w:p>
        </w:tc>
      </w:tr>
      <w:tr w14:paraId="33526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480" w:type="dxa"/>
            <w:vMerge w:val="continue"/>
            <w:tcBorders>
              <w:top w:val="nil"/>
              <w:left w:val="single" w:color="auto" w:sz="4" w:space="0"/>
              <w:bottom w:val="single" w:color="auto" w:sz="4" w:space="0"/>
              <w:right w:val="single" w:color="auto" w:sz="4" w:space="0"/>
            </w:tcBorders>
            <w:shd w:val="clear" w:color="auto" w:fill="auto"/>
            <w:vAlign w:val="center"/>
          </w:tcPr>
          <w:p w14:paraId="3E8463F9">
            <w:pPr>
              <w:jc w:val="center"/>
              <w:rPr>
                <w:rFonts w:hint="eastAsia" w:ascii="宋体" w:hAnsi="宋体" w:eastAsia="宋体" w:cs="宋体"/>
                <w:i w:val="0"/>
                <w:iCs w:val="0"/>
                <w:color w:val="000000"/>
                <w:sz w:val="22"/>
                <w:szCs w:val="22"/>
                <w:highlight w:val="none"/>
                <w:u w:val="none"/>
              </w:rPr>
            </w:pPr>
          </w:p>
        </w:tc>
        <w:tc>
          <w:tcPr>
            <w:tcW w:w="7960" w:type="dxa"/>
            <w:tcBorders>
              <w:top w:val="nil"/>
              <w:left w:val="nil"/>
              <w:bottom w:val="single" w:color="auto" w:sz="4" w:space="0"/>
              <w:right w:val="single" w:color="auto" w:sz="4" w:space="0"/>
            </w:tcBorders>
            <w:shd w:val="clear" w:color="auto" w:fill="auto"/>
            <w:vAlign w:val="center"/>
          </w:tcPr>
          <w:p w14:paraId="2FFCC54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10.9 自动生成《职业健康检查表》、《职业健康检查报告书》、《疑似职业病告知书》、《有毒有害作业工人健康监护卡》、《职业健康检查复查通知书》等文书</w:t>
            </w:r>
          </w:p>
        </w:tc>
      </w:tr>
      <w:tr w14:paraId="22F38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480" w:type="dxa"/>
            <w:vMerge w:val="continue"/>
            <w:tcBorders>
              <w:top w:val="nil"/>
              <w:left w:val="single" w:color="auto" w:sz="4" w:space="0"/>
              <w:bottom w:val="single" w:color="auto" w:sz="4" w:space="0"/>
              <w:right w:val="single" w:color="auto" w:sz="4" w:space="0"/>
            </w:tcBorders>
            <w:shd w:val="clear" w:color="auto" w:fill="auto"/>
            <w:vAlign w:val="center"/>
          </w:tcPr>
          <w:p w14:paraId="565775D2">
            <w:pPr>
              <w:jc w:val="center"/>
              <w:rPr>
                <w:rFonts w:hint="eastAsia" w:ascii="宋体" w:hAnsi="宋体" w:eastAsia="宋体" w:cs="宋体"/>
                <w:i w:val="0"/>
                <w:iCs w:val="0"/>
                <w:color w:val="000000"/>
                <w:sz w:val="22"/>
                <w:szCs w:val="22"/>
                <w:highlight w:val="none"/>
                <w:u w:val="none"/>
              </w:rPr>
            </w:pPr>
          </w:p>
        </w:tc>
        <w:tc>
          <w:tcPr>
            <w:tcW w:w="7960" w:type="dxa"/>
            <w:tcBorders>
              <w:top w:val="nil"/>
              <w:left w:val="nil"/>
              <w:bottom w:val="single" w:color="auto" w:sz="4" w:space="0"/>
              <w:right w:val="single" w:color="auto" w:sz="4" w:space="0"/>
            </w:tcBorders>
            <w:shd w:val="clear" w:color="auto" w:fill="auto"/>
            <w:vAlign w:val="center"/>
          </w:tcPr>
          <w:p w14:paraId="2B8AB85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10.10 职业健康数据汇总分析</w:t>
            </w:r>
          </w:p>
        </w:tc>
      </w:tr>
    </w:tbl>
    <w:p w14:paraId="21863780">
      <w:pPr>
        <w:pStyle w:val="23"/>
        <w:spacing w:line="360" w:lineRule="auto"/>
        <w:ind w:firstLine="482"/>
        <w:outlineLvl w:val="1"/>
        <w:rPr>
          <w:rFonts w:hint="eastAsia" w:ascii="宋体" w:hAnsi="宋体" w:eastAsia="宋体"/>
          <w:b/>
          <w:bCs w:val="0"/>
          <w:sz w:val="28"/>
          <w:szCs w:val="28"/>
          <w:highlight w:val="none"/>
        </w:rPr>
      </w:pPr>
    </w:p>
    <w:p w14:paraId="74BE7D82">
      <w:pPr>
        <w:pStyle w:val="23"/>
        <w:spacing w:line="360" w:lineRule="auto"/>
        <w:ind w:firstLine="482"/>
        <w:outlineLvl w:val="1"/>
        <w:rPr>
          <w:rFonts w:hint="eastAsia" w:ascii="宋体" w:hAnsi="宋体" w:eastAsia="宋体"/>
          <w:b/>
          <w:bCs w:val="0"/>
          <w:sz w:val="24"/>
          <w:szCs w:val="24"/>
          <w:highlight w:val="none"/>
          <w:lang w:val="en-US" w:eastAsia="zh-CN"/>
        </w:rPr>
      </w:pPr>
      <w:r>
        <w:rPr>
          <w:rFonts w:hint="eastAsia" w:ascii="宋体" w:hAnsi="宋体" w:eastAsia="宋体"/>
          <w:b/>
          <w:bCs w:val="0"/>
          <w:sz w:val="24"/>
          <w:szCs w:val="24"/>
          <w:highlight w:val="none"/>
        </w:rPr>
        <w:t>第二条</w:t>
      </w:r>
      <w:r>
        <w:rPr>
          <w:rFonts w:hint="eastAsia" w:hAnsi="宋体"/>
          <w:b/>
          <w:bCs w:val="0"/>
          <w:sz w:val="24"/>
          <w:szCs w:val="24"/>
          <w:highlight w:val="none"/>
          <w:lang w:val="en-US" w:eastAsia="zh-CN"/>
        </w:rPr>
        <w:t xml:space="preserve">  </w:t>
      </w:r>
      <w:r>
        <w:rPr>
          <w:rFonts w:hint="eastAsia" w:ascii="宋体" w:hAnsi="宋体" w:eastAsia="宋体"/>
          <w:b/>
          <w:bCs w:val="0"/>
          <w:sz w:val="24"/>
          <w:szCs w:val="24"/>
          <w:highlight w:val="none"/>
        </w:rPr>
        <w:t>售后服务</w:t>
      </w:r>
      <w:r>
        <w:rPr>
          <w:rFonts w:hint="eastAsia" w:hAnsi="宋体"/>
          <w:b/>
          <w:bCs w:val="0"/>
          <w:sz w:val="24"/>
          <w:szCs w:val="24"/>
          <w:highlight w:val="none"/>
          <w:lang w:val="en-US" w:eastAsia="zh-CN"/>
        </w:rPr>
        <w:t>要求</w:t>
      </w:r>
    </w:p>
    <w:p w14:paraId="3A733AA8">
      <w:pPr>
        <w:pStyle w:val="23"/>
        <w:spacing w:line="360" w:lineRule="auto"/>
        <w:ind w:firstLine="482"/>
        <w:outlineLvl w:val="1"/>
        <w:rPr>
          <w:rFonts w:hint="eastAsia" w:hAnsi="宋体"/>
          <w:sz w:val="24"/>
          <w:szCs w:val="24"/>
          <w:highlight w:val="none"/>
          <w:lang w:val="en-US" w:eastAsia="zh-CN"/>
        </w:rPr>
      </w:pPr>
      <w:r>
        <w:rPr>
          <w:rFonts w:hint="eastAsia" w:hAnsi="宋体"/>
          <w:sz w:val="24"/>
          <w:szCs w:val="24"/>
          <w:highlight w:val="none"/>
          <w:lang w:val="en-US" w:eastAsia="zh-CN"/>
        </w:rPr>
        <w:t>根据乙方响应文件的售后服务方案提供售后服务，并须满足以下要求：</w:t>
      </w:r>
    </w:p>
    <w:p w14:paraId="382A3096">
      <w:pPr>
        <w:pStyle w:val="23"/>
        <w:spacing w:line="360" w:lineRule="auto"/>
        <w:ind w:firstLine="482"/>
        <w:outlineLvl w:val="1"/>
        <w:rPr>
          <w:rFonts w:hint="default" w:hAnsi="宋体"/>
          <w:sz w:val="24"/>
          <w:szCs w:val="24"/>
          <w:highlight w:val="none"/>
          <w:lang w:val="en-US" w:eastAsia="zh-CN"/>
        </w:rPr>
      </w:pPr>
      <w:r>
        <w:rPr>
          <w:rFonts w:hint="eastAsia" w:hAnsi="宋体"/>
          <w:sz w:val="24"/>
          <w:szCs w:val="24"/>
          <w:highlight w:val="none"/>
          <w:lang w:val="en-US" w:eastAsia="zh-CN"/>
        </w:rPr>
        <w:t>（一）售后服务内容</w:t>
      </w:r>
    </w:p>
    <w:p w14:paraId="73316FEE">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1、</w:t>
      </w:r>
      <w:r>
        <w:rPr>
          <w:rFonts w:hint="eastAsia" w:hAnsi="宋体"/>
          <w:sz w:val="24"/>
          <w:szCs w:val="24"/>
          <w:highlight w:val="none"/>
        </w:rPr>
        <w:t>技术支持</w:t>
      </w:r>
    </w:p>
    <w:p w14:paraId="5194F20F">
      <w:pPr>
        <w:pStyle w:val="23"/>
        <w:spacing w:line="360" w:lineRule="auto"/>
        <w:ind w:firstLine="482"/>
        <w:outlineLvl w:val="1"/>
        <w:rPr>
          <w:rFonts w:hint="eastAsia" w:hAnsi="宋体"/>
          <w:sz w:val="24"/>
          <w:szCs w:val="24"/>
          <w:highlight w:val="none"/>
        </w:rPr>
      </w:pPr>
      <w:r>
        <w:rPr>
          <w:rFonts w:hint="eastAsia" w:hAnsi="宋体"/>
          <w:sz w:val="24"/>
          <w:szCs w:val="24"/>
          <w:highlight w:val="none"/>
          <w:lang w:eastAsia="zh-CN"/>
        </w:rPr>
        <w:t>（</w:t>
      </w:r>
      <w:r>
        <w:rPr>
          <w:rFonts w:hint="eastAsia" w:hAnsi="宋体"/>
          <w:sz w:val="24"/>
          <w:szCs w:val="24"/>
          <w:highlight w:val="none"/>
          <w:lang w:val="en-US" w:eastAsia="zh-CN"/>
        </w:rPr>
        <w:t>1</w:t>
      </w:r>
      <w:r>
        <w:rPr>
          <w:rFonts w:hint="eastAsia" w:hAnsi="宋体"/>
          <w:sz w:val="24"/>
          <w:szCs w:val="24"/>
          <w:highlight w:val="none"/>
          <w:lang w:eastAsia="zh-CN"/>
        </w:rPr>
        <w:t>）</w:t>
      </w:r>
      <w:r>
        <w:rPr>
          <w:rFonts w:hint="eastAsia"/>
          <w:bCs/>
          <w:sz w:val="24"/>
          <w:szCs w:val="21"/>
          <w:highlight w:val="none"/>
          <w:lang w:eastAsia="zh-CN"/>
        </w:rPr>
        <w:t>乙方</w:t>
      </w:r>
      <w:r>
        <w:rPr>
          <w:rFonts w:hint="eastAsia" w:hAnsi="宋体"/>
          <w:sz w:val="24"/>
          <w:szCs w:val="24"/>
          <w:highlight w:val="none"/>
        </w:rPr>
        <w:t>承诺在软件产品</w:t>
      </w:r>
      <w:r>
        <w:rPr>
          <w:rFonts w:hint="eastAsia" w:hAnsi="宋体"/>
          <w:sz w:val="24"/>
          <w:szCs w:val="24"/>
          <w:highlight w:val="none"/>
          <w:lang w:val="en-US" w:eastAsia="zh-CN"/>
        </w:rPr>
        <w:t>验收</w:t>
      </w:r>
      <w:r>
        <w:rPr>
          <w:rFonts w:hint="eastAsia" w:hAnsi="宋体"/>
          <w:sz w:val="24"/>
          <w:szCs w:val="24"/>
          <w:highlight w:val="none"/>
        </w:rPr>
        <w:t>交付后提供为期</w:t>
      </w:r>
      <w:r>
        <w:rPr>
          <w:rFonts w:hint="eastAsia" w:hAnsi="宋体"/>
          <w:sz w:val="24"/>
          <w:szCs w:val="24"/>
          <w:highlight w:val="none"/>
          <w:lang w:val="en-US" w:eastAsia="zh-CN"/>
        </w:rPr>
        <w:t>*</w:t>
      </w:r>
      <w:r>
        <w:rPr>
          <w:rFonts w:hint="eastAsia" w:hAnsi="宋体"/>
          <w:sz w:val="24"/>
          <w:szCs w:val="24"/>
          <w:highlight w:val="none"/>
        </w:rPr>
        <w:t xml:space="preserve">年的免费技术支持服务。 </w:t>
      </w:r>
    </w:p>
    <w:p w14:paraId="69402673">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（2）</w:t>
      </w:r>
      <w:r>
        <w:rPr>
          <w:rFonts w:hint="eastAsia" w:hAnsi="宋体"/>
          <w:sz w:val="24"/>
          <w:szCs w:val="24"/>
          <w:highlight w:val="none"/>
        </w:rPr>
        <w:t>技术支持服务包括但不限于电话咨询、邮件回复、在线聊天等方式。</w:t>
      </w:r>
    </w:p>
    <w:p w14:paraId="5FD8A33B">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（3）</w:t>
      </w:r>
      <w:r>
        <w:rPr>
          <w:rFonts w:hint="eastAsia"/>
          <w:bCs/>
          <w:sz w:val="24"/>
          <w:szCs w:val="21"/>
          <w:highlight w:val="none"/>
          <w:lang w:eastAsia="zh-CN"/>
        </w:rPr>
        <w:t>乙方</w:t>
      </w:r>
      <w:r>
        <w:rPr>
          <w:rFonts w:hint="eastAsia" w:hAnsi="宋体"/>
          <w:sz w:val="24"/>
          <w:szCs w:val="24"/>
          <w:highlight w:val="none"/>
        </w:rPr>
        <w:t>应在接到</w:t>
      </w:r>
      <w:r>
        <w:rPr>
          <w:rFonts w:hint="eastAsia" w:hAnsi="宋体"/>
          <w:sz w:val="24"/>
          <w:szCs w:val="24"/>
          <w:highlight w:val="none"/>
          <w:lang w:val="en-US" w:eastAsia="zh-CN"/>
        </w:rPr>
        <w:t>甲方</w:t>
      </w:r>
      <w:r>
        <w:rPr>
          <w:rFonts w:hint="eastAsia" w:hAnsi="宋体"/>
          <w:sz w:val="24"/>
          <w:szCs w:val="24"/>
          <w:highlight w:val="none"/>
        </w:rPr>
        <w:t xml:space="preserve">技术支持请求后的2小时内响应，并提供解决方案。 </w:t>
      </w:r>
    </w:p>
    <w:p w14:paraId="411544E5">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2、</w:t>
      </w:r>
      <w:r>
        <w:rPr>
          <w:rFonts w:hint="eastAsia" w:hAnsi="宋体"/>
          <w:sz w:val="24"/>
          <w:szCs w:val="24"/>
          <w:highlight w:val="none"/>
        </w:rPr>
        <w:t>维护服务</w:t>
      </w:r>
    </w:p>
    <w:p w14:paraId="51932EE4">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（1）</w:t>
      </w:r>
      <w:r>
        <w:rPr>
          <w:rFonts w:hint="eastAsia"/>
          <w:bCs/>
          <w:sz w:val="24"/>
          <w:szCs w:val="21"/>
          <w:highlight w:val="none"/>
          <w:lang w:eastAsia="zh-CN"/>
        </w:rPr>
        <w:t>乙方</w:t>
      </w:r>
      <w:r>
        <w:rPr>
          <w:rFonts w:hint="eastAsia" w:hAnsi="宋体"/>
          <w:sz w:val="24"/>
          <w:szCs w:val="24"/>
          <w:highlight w:val="none"/>
        </w:rPr>
        <w:t>承诺在软件产品</w:t>
      </w:r>
      <w:r>
        <w:rPr>
          <w:rFonts w:hint="eastAsia" w:hAnsi="宋体"/>
          <w:sz w:val="24"/>
          <w:szCs w:val="24"/>
          <w:highlight w:val="none"/>
          <w:lang w:val="en-US" w:eastAsia="zh-CN"/>
        </w:rPr>
        <w:t>验收</w:t>
      </w:r>
      <w:r>
        <w:rPr>
          <w:rFonts w:hint="eastAsia" w:hAnsi="宋体"/>
          <w:sz w:val="24"/>
          <w:szCs w:val="24"/>
          <w:highlight w:val="none"/>
        </w:rPr>
        <w:t>交付后提供为期</w:t>
      </w:r>
      <w:r>
        <w:rPr>
          <w:rFonts w:hint="eastAsia" w:hAnsi="宋体"/>
          <w:sz w:val="24"/>
          <w:szCs w:val="24"/>
          <w:highlight w:val="none"/>
          <w:lang w:val="en-US" w:eastAsia="zh-CN"/>
        </w:rPr>
        <w:t>*</w:t>
      </w:r>
      <w:r>
        <w:rPr>
          <w:rFonts w:hint="eastAsia" w:hAnsi="宋体"/>
          <w:sz w:val="24"/>
          <w:szCs w:val="24"/>
          <w:highlight w:val="none"/>
        </w:rPr>
        <w:t>年的免费维护服务。</w:t>
      </w:r>
    </w:p>
    <w:p w14:paraId="28BF3D95">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（2）</w:t>
      </w:r>
      <w:r>
        <w:rPr>
          <w:rFonts w:hint="eastAsia" w:hAnsi="宋体"/>
          <w:sz w:val="24"/>
          <w:szCs w:val="24"/>
          <w:highlight w:val="none"/>
        </w:rPr>
        <w:t xml:space="preserve">维护服务包括软件产品的错误修复、功能优化等。 </w:t>
      </w:r>
    </w:p>
    <w:p w14:paraId="29C2FEFC">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（3）</w:t>
      </w:r>
      <w:r>
        <w:rPr>
          <w:rFonts w:hint="eastAsia"/>
          <w:bCs/>
          <w:sz w:val="24"/>
          <w:szCs w:val="21"/>
          <w:highlight w:val="none"/>
          <w:lang w:eastAsia="zh-CN"/>
        </w:rPr>
        <w:t>乙方</w:t>
      </w:r>
      <w:r>
        <w:rPr>
          <w:rFonts w:hint="eastAsia" w:hAnsi="宋体"/>
          <w:sz w:val="24"/>
          <w:szCs w:val="24"/>
          <w:highlight w:val="none"/>
        </w:rPr>
        <w:t xml:space="preserve">应在发觉软件产品存在严重错误后的24小时内提供修复方案。 </w:t>
      </w:r>
    </w:p>
    <w:p w14:paraId="18D1D35A">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3、</w:t>
      </w:r>
      <w:r>
        <w:rPr>
          <w:rFonts w:hint="eastAsia" w:hAnsi="宋体"/>
          <w:sz w:val="24"/>
          <w:szCs w:val="24"/>
          <w:highlight w:val="none"/>
        </w:rPr>
        <w:t>升级服务</w:t>
      </w:r>
    </w:p>
    <w:p w14:paraId="17B4D171">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（1）</w:t>
      </w:r>
      <w:r>
        <w:rPr>
          <w:rFonts w:hint="eastAsia"/>
          <w:bCs/>
          <w:sz w:val="24"/>
          <w:szCs w:val="21"/>
          <w:highlight w:val="none"/>
          <w:lang w:eastAsia="zh-CN"/>
        </w:rPr>
        <w:t>乙方</w:t>
      </w:r>
      <w:r>
        <w:rPr>
          <w:rFonts w:hint="eastAsia" w:hAnsi="宋体"/>
          <w:sz w:val="24"/>
          <w:szCs w:val="24"/>
          <w:highlight w:val="none"/>
        </w:rPr>
        <w:t>承诺在软件产品</w:t>
      </w:r>
      <w:r>
        <w:rPr>
          <w:rFonts w:hint="eastAsia" w:hAnsi="宋体"/>
          <w:sz w:val="24"/>
          <w:szCs w:val="24"/>
          <w:highlight w:val="none"/>
          <w:lang w:val="en-US" w:eastAsia="zh-CN"/>
        </w:rPr>
        <w:t>验收</w:t>
      </w:r>
      <w:r>
        <w:rPr>
          <w:rFonts w:hint="eastAsia" w:hAnsi="宋体"/>
          <w:sz w:val="24"/>
          <w:szCs w:val="24"/>
          <w:highlight w:val="none"/>
        </w:rPr>
        <w:t>交付后提供为期</w:t>
      </w:r>
      <w:r>
        <w:rPr>
          <w:rFonts w:hint="eastAsia" w:hAnsi="宋体"/>
          <w:sz w:val="24"/>
          <w:szCs w:val="24"/>
          <w:highlight w:val="none"/>
          <w:lang w:val="en-US" w:eastAsia="zh-CN"/>
        </w:rPr>
        <w:t>*</w:t>
      </w:r>
      <w:r>
        <w:rPr>
          <w:rFonts w:hint="eastAsia" w:hAnsi="宋体"/>
          <w:sz w:val="24"/>
          <w:szCs w:val="24"/>
          <w:highlight w:val="none"/>
        </w:rPr>
        <w:t>年的免费升级服务。</w:t>
      </w:r>
    </w:p>
    <w:p w14:paraId="67B200C6">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（2）</w:t>
      </w:r>
      <w:r>
        <w:rPr>
          <w:rFonts w:hint="eastAsia" w:hAnsi="宋体"/>
          <w:sz w:val="24"/>
          <w:szCs w:val="24"/>
          <w:highlight w:val="none"/>
        </w:rPr>
        <w:t>升级服务包括软件产品的功能更新、功能提升等。</w:t>
      </w:r>
    </w:p>
    <w:p w14:paraId="2A2D43A7">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（3）</w:t>
      </w:r>
      <w:r>
        <w:rPr>
          <w:rFonts w:hint="eastAsia"/>
          <w:bCs/>
          <w:sz w:val="24"/>
          <w:szCs w:val="21"/>
          <w:highlight w:val="none"/>
          <w:lang w:eastAsia="zh-CN"/>
        </w:rPr>
        <w:t>乙方</w:t>
      </w:r>
      <w:r>
        <w:rPr>
          <w:rFonts w:hint="eastAsia" w:hAnsi="宋体"/>
          <w:sz w:val="24"/>
          <w:szCs w:val="24"/>
          <w:highlight w:val="none"/>
        </w:rPr>
        <w:t>应在每次升级发布后及时通知</w:t>
      </w:r>
      <w:r>
        <w:rPr>
          <w:rFonts w:hint="eastAsia" w:hAnsi="宋体"/>
          <w:sz w:val="24"/>
          <w:szCs w:val="24"/>
          <w:highlight w:val="none"/>
          <w:lang w:val="en-US" w:eastAsia="zh-CN"/>
        </w:rPr>
        <w:t>甲方</w:t>
      </w:r>
      <w:r>
        <w:rPr>
          <w:rFonts w:hint="eastAsia" w:hAnsi="宋体"/>
          <w:sz w:val="24"/>
          <w:szCs w:val="24"/>
          <w:highlight w:val="none"/>
        </w:rPr>
        <w:t>，并提供升级方案。</w:t>
      </w:r>
    </w:p>
    <w:p w14:paraId="7F3A8720">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（二）</w:t>
      </w:r>
      <w:r>
        <w:rPr>
          <w:rFonts w:hint="eastAsia" w:hAnsi="宋体"/>
          <w:sz w:val="24"/>
          <w:szCs w:val="24"/>
          <w:highlight w:val="none"/>
        </w:rPr>
        <w:t>售后服务流程</w:t>
      </w:r>
    </w:p>
    <w:p w14:paraId="03697719">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1、甲方</w:t>
      </w:r>
      <w:r>
        <w:rPr>
          <w:rFonts w:hint="eastAsia" w:hAnsi="宋体"/>
          <w:sz w:val="24"/>
          <w:szCs w:val="24"/>
          <w:highlight w:val="none"/>
        </w:rPr>
        <w:t>在使用软件产品过程中遇到问题时，可通过以下方式向</w:t>
      </w:r>
      <w:r>
        <w:rPr>
          <w:rFonts w:hint="eastAsia"/>
          <w:bCs/>
          <w:sz w:val="24"/>
          <w:szCs w:val="21"/>
          <w:highlight w:val="none"/>
          <w:lang w:eastAsia="zh-CN"/>
        </w:rPr>
        <w:t>乙方</w:t>
      </w:r>
      <w:r>
        <w:rPr>
          <w:rFonts w:hint="eastAsia" w:hAnsi="宋体"/>
          <w:sz w:val="24"/>
          <w:szCs w:val="24"/>
          <w:highlight w:val="none"/>
          <w:lang w:val="en-US" w:eastAsia="zh-CN"/>
        </w:rPr>
        <w:t>提出售后服务</w:t>
      </w:r>
      <w:r>
        <w:rPr>
          <w:rFonts w:hint="eastAsia" w:hAnsi="宋体"/>
          <w:sz w:val="24"/>
          <w:szCs w:val="24"/>
          <w:highlight w:val="none"/>
        </w:rPr>
        <w:t xml:space="preserve">请求: </w:t>
      </w:r>
    </w:p>
    <w:p w14:paraId="1F388953">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（1）</w:t>
      </w:r>
      <w:r>
        <w:rPr>
          <w:rFonts w:hint="eastAsia" w:hAnsi="宋体"/>
          <w:sz w:val="24"/>
          <w:szCs w:val="24"/>
          <w:highlight w:val="none"/>
        </w:rPr>
        <w:t>电话:拨打</w:t>
      </w:r>
      <w:r>
        <w:rPr>
          <w:rFonts w:hint="eastAsia" w:hAnsi="宋体"/>
          <w:sz w:val="24"/>
          <w:szCs w:val="24"/>
          <w:highlight w:val="none"/>
          <w:lang w:val="en-US" w:eastAsia="zh-CN"/>
        </w:rPr>
        <w:t>乙方</w:t>
      </w:r>
      <w:r>
        <w:rPr>
          <w:rFonts w:hint="eastAsia" w:hAnsi="宋体"/>
          <w:sz w:val="24"/>
          <w:szCs w:val="24"/>
          <w:highlight w:val="none"/>
        </w:rPr>
        <w:t>提供的售后服务电话。</w:t>
      </w:r>
    </w:p>
    <w:p w14:paraId="1D9BB7CD">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（2）</w:t>
      </w:r>
      <w:r>
        <w:rPr>
          <w:rFonts w:hint="eastAsia" w:hAnsi="宋体"/>
          <w:sz w:val="24"/>
          <w:szCs w:val="24"/>
          <w:highlight w:val="none"/>
        </w:rPr>
        <w:t>邮件:发送邮件至</w:t>
      </w:r>
      <w:r>
        <w:rPr>
          <w:rFonts w:hint="eastAsia" w:hAnsi="宋体"/>
          <w:sz w:val="24"/>
          <w:szCs w:val="24"/>
          <w:highlight w:val="none"/>
          <w:lang w:val="en-US" w:eastAsia="zh-CN"/>
        </w:rPr>
        <w:t>乙方</w:t>
      </w:r>
      <w:r>
        <w:rPr>
          <w:rFonts w:hint="eastAsia" w:hAnsi="宋体"/>
          <w:sz w:val="24"/>
          <w:szCs w:val="24"/>
          <w:highlight w:val="none"/>
        </w:rPr>
        <w:t>提供的售后服务邮箱。</w:t>
      </w:r>
    </w:p>
    <w:p w14:paraId="110CB867">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（3）</w:t>
      </w:r>
      <w:r>
        <w:rPr>
          <w:rFonts w:hint="eastAsia" w:hAnsi="宋体"/>
          <w:sz w:val="24"/>
          <w:szCs w:val="24"/>
          <w:highlight w:val="none"/>
        </w:rPr>
        <w:t>在线聊天:通过</w:t>
      </w:r>
      <w:r>
        <w:rPr>
          <w:rFonts w:hint="eastAsia" w:hAnsi="宋体"/>
          <w:sz w:val="24"/>
          <w:szCs w:val="24"/>
          <w:highlight w:val="none"/>
          <w:lang w:val="en-US" w:eastAsia="zh-CN"/>
        </w:rPr>
        <w:t>乙方</w:t>
      </w:r>
      <w:r>
        <w:rPr>
          <w:rFonts w:hint="eastAsia" w:hAnsi="宋体"/>
          <w:sz w:val="24"/>
          <w:szCs w:val="24"/>
          <w:highlight w:val="none"/>
        </w:rPr>
        <w:t>提供的在线聊天工具进行咨询。</w:t>
      </w:r>
    </w:p>
    <w:p w14:paraId="6E3EA191">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2、</w:t>
      </w:r>
      <w:r>
        <w:rPr>
          <w:rFonts w:hint="eastAsia"/>
          <w:bCs/>
          <w:sz w:val="24"/>
          <w:szCs w:val="21"/>
          <w:highlight w:val="none"/>
          <w:lang w:eastAsia="zh-CN"/>
        </w:rPr>
        <w:t>乙方</w:t>
      </w:r>
      <w:r>
        <w:rPr>
          <w:rFonts w:hint="eastAsia" w:hAnsi="宋体"/>
          <w:sz w:val="24"/>
          <w:szCs w:val="24"/>
          <w:highlight w:val="none"/>
        </w:rPr>
        <w:t>在接到</w:t>
      </w:r>
      <w:r>
        <w:rPr>
          <w:rFonts w:hint="eastAsia" w:hAnsi="宋体"/>
          <w:sz w:val="24"/>
          <w:szCs w:val="24"/>
          <w:highlight w:val="none"/>
          <w:lang w:val="en-US" w:eastAsia="zh-CN"/>
        </w:rPr>
        <w:t>甲方</w:t>
      </w:r>
      <w:r>
        <w:rPr>
          <w:rFonts w:hint="eastAsia" w:hAnsi="宋体"/>
          <w:sz w:val="24"/>
          <w:szCs w:val="24"/>
          <w:highlight w:val="none"/>
        </w:rPr>
        <w:t>的售后服务请求后，应按照以下流程进行服务:</w:t>
      </w:r>
    </w:p>
    <w:p w14:paraId="580CDDCF">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（1）</w:t>
      </w:r>
      <w:r>
        <w:rPr>
          <w:rFonts w:hint="eastAsia" w:hAnsi="宋体"/>
          <w:sz w:val="24"/>
          <w:szCs w:val="24"/>
          <w:highlight w:val="none"/>
        </w:rPr>
        <w:t>确认</w:t>
      </w:r>
      <w:r>
        <w:rPr>
          <w:rFonts w:hint="eastAsia" w:hAnsi="宋体"/>
          <w:sz w:val="24"/>
          <w:szCs w:val="24"/>
          <w:highlight w:val="none"/>
          <w:lang w:val="en-US" w:eastAsia="zh-CN"/>
        </w:rPr>
        <w:t>甲方</w:t>
      </w:r>
      <w:r>
        <w:rPr>
          <w:rFonts w:hint="eastAsia" w:hAnsi="宋体"/>
          <w:sz w:val="24"/>
          <w:szCs w:val="24"/>
          <w:highlight w:val="none"/>
        </w:rPr>
        <w:t>身份:</w:t>
      </w:r>
      <w:r>
        <w:rPr>
          <w:rFonts w:hint="eastAsia"/>
          <w:bCs/>
          <w:sz w:val="24"/>
          <w:szCs w:val="21"/>
          <w:highlight w:val="none"/>
          <w:lang w:eastAsia="zh-CN"/>
        </w:rPr>
        <w:t>乙方</w:t>
      </w:r>
      <w:r>
        <w:rPr>
          <w:rFonts w:hint="eastAsia" w:hAnsi="宋体"/>
          <w:sz w:val="24"/>
          <w:szCs w:val="24"/>
          <w:highlight w:val="none"/>
        </w:rPr>
        <w:t>应在接到请求后立即确认</w:t>
      </w:r>
      <w:r>
        <w:rPr>
          <w:rFonts w:hint="eastAsia" w:hAnsi="宋体"/>
          <w:sz w:val="24"/>
          <w:szCs w:val="24"/>
          <w:highlight w:val="none"/>
          <w:lang w:val="en-US" w:eastAsia="zh-CN"/>
        </w:rPr>
        <w:t>甲方</w:t>
      </w:r>
      <w:r>
        <w:rPr>
          <w:rFonts w:hint="eastAsia" w:hAnsi="宋体"/>
          <w:sz w:val="24"/>
          <w:szCs w:val="24"/>
          <w:highlight w:val="none"/>
        </w:rPr>
        <w:t xml:space="preserve">身份，保证服务请求的合法性。 </w:t>
      </w:r>
    </w:p>
    <w:p w14:paraId="5589F1DD">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（2）</w:t>
      </w:r>
      <w:r>
        <w:rPr>
          <w:rFonts w:hint="eastAsia" w:hAnsi="宋体"/>
          <w:sz w:val="24"/>
          <w:szCs w:val="24"/>
          <w:highlight w:val="none"/>
        </w:rPr>
        <w:t>分类处理</w:t>
      </w:r>
      <w:r>
        <w:rPr>
          <w:rFonts w:hint="eastAsia" w:hAnsi="宋体"/>
          <w:sz w:val="24"/>
          <w:szCs w:val="24"/>
          <w:highlight w:val="none"/>
          <w:lang w:eastAsia="zh-CN"/>
        </w:rPr>
        <w:t>：</w:t>
      </w:r>
      <w:r>
        <w:rPr>
          <w:rFonts w:hint="eastAsia"/>
          <w:bCs/>
          <w:sz w:val="24"/>
          <w:szCs w:val="21"/>
          <w:highlight w:val="none"/>
          <w:lang w:eastAsia="zh-CN"/>
        </w:rPr>
        <w:t>乙方</w:t>
      </w:r>
      <w:r>
        <w:rPr>
          <w:rFonts w:hint="eastAsia" w:hAnsi="宋体"/>
          <w:sz w:val="24"/>
          <w:szCs w:val="24"/>
          <w:highlight w:val="none"/>
        </w:rPr>
        <w:t>应根据</w:t>
      </w:r>
      <w:r>
        <w:rPr>
          <w:rFonts w:hint="eastAsia" w:hAnsi="宋体"/>
          <w:sz w:val="24"/>
          <w:szCs w:val="24"/>
          <w:highlight w:val="none"/>
          <w:lang w:val="en-US" w:eastAsia="zh-CN"/>
        </w:rPr>
        <w:t>甲方</w:t>
      </w:r>
      <w:r>
        <w:rPr>
          <w:rFonts w:hint="eastAsia" w:hAnsi="宋体"/>
          <w:sz w:val="24"/>
          <w:szCs w:val="24"/>
          <w:highlight w:val="none"/>
        </w:rPr>
        <w:t xml:space="preserve">提出的问题类型，将其分类为技术支持、维护或升级服务。 </w:t>
      </w:r>
    </w:p>
    <w:p w14:paraId="40EAB8A6">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（3）</w:t>
      </w:r>
      <w:r>
        <w:rPr>
          <w:rFonts w:hint="eastAsia" w:hAnsi="宋体"/>
          <w:sz w:val="24"/>
          <w:szCs w:val="24"/>
          <w:highlight w:val="none"/>
        </w:rPr>
        <w:t>提供服务:</w:t>
      </w:r>
      <w:r>
        <w:rPr>
          <w:rFonts w:hint="eastAsia"/>
          <w:bCs/>
          <w:sz w:val="24"/>
          <w:szCs w:val="21"/>
          <w:highlight w:val="none"/>
          <w:lang w:eastAsia="zh-CN"/>
        </w:rPr>
        <w:t>乙方</w:t>
      </w:r>
      <w:r>
        <w:rPr>
          <w:rFonts w:hint="eastAsia" w:hAnsi="宋体"/>
          <w:sz w:val="24"/>
          <w:szCs w:val="24"/>
          <w:highlight w:val="none"/>
        </w:rPr>
        <w:t xml:space="preserve">应根据分类结果，提供相应的售后服务。 </w:t>
      </w:r>
    </w:p>
    <w:p w14:paraId="7353DE7A">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（4）</w:t>
      </w:r>
      <w:r>
        <w:rPr>
          <w:rFonts w:hint="eastAsia" w:hAnsi="宋体"/>
          <w:sz w:val="24"/>
          <w:szCs w:val="24"/>
          <w:highlight w:val="none"/>
        </w:rPr>
        <w:t>跟进与反馈:</w:t>
      </w:r>
      <w:r>
        <w:rPr>
          <w:rFonts w:hint="eastAsia"/>
          <w:bCs/>
          <w:sz w:val="24"/>
          <w:szCs w:val="21"/>
          <w:highlight w:val="none"/>
          <w:lang w:eastAsia="zh-CN"/>
        </w:rPr>
        <w:t>乙方</w:t>
      </w:r>
      <w:r>
        <w:rPr>
          <w:rFonts w:hint="eastAsia" w:hAnsi="宋体"/>
          <w:sz w:val="24"/>
          <w:szCs w:val="24"/>
          <w:highlight w:val="none"/>
        </w:rPr>
        <w:t>应在</w:t>
      </w:r>
      <w:r>
        <w:rPr>
          <w:rFonts w:hint="eastAsia" w:hAnsi="宋体"/>
          <w:sz w:val="24"/>
          <w:szCs w:val="24"/>
          <w:highlight w:val="none"/>
          <w:lang w:val="en-US" w:eastAsia="zh-CN"/>
        </w:rPr>
        <w:t>服</w:t>
      </w:r>
      <w:r>
        <w:rPr>
          <w:rFonts w:hint="eastAsia" w:hAnsi="宋体"/>
          <w:sz w:val="24"/>
          <w:szCs w:val="24"/>
          <w:highlight w:val="none"/>
        </w:rPr>
        <w:t>务过程中与</w:t>
      </w:r>
      <w:r>
        <w:rPr>
          <w:rFonts w:hint="eastAsia" w:hAnsi="宋体"/>
          <w:sz w:val="24"/>
          <w:szCs w:val="24"/>
          <w:highlight w:val="none"/>
          <w:lang w:val="en-US" w:eastAsia="zh-CN"/>
        </w:rPr>
        <w:t>甲方</w:t>
      </w:r>
      <w:r>
        <w:rPr>
          <w:rFonts w:hint="eastAsia" w:hAnsi="宋体"/>
          <w:sz w:val="24"/>
          <w:szCs w:val="24"/>
          <w:highlight w:val="none"/>
        </w:rPr>
        <w:t>保持沟通，及时了解</w:t>
      </w:r>
      <w:r>
        <w:rPr>
          <w:rFonts w:hint="eastAsia" w:hAnsi="宋体"/>
          <w:sz w:val="24"/>
          <w:szCs w:val="24"/>
          <w:highlight w:val="none"/>
          <w:lang w:val="en-US" w:eastAsia="zh-CN"/>
        </w:rPr>
        <w:t>甲方</w:t>
      </w:r>
      <w:r>
        <w:rPr>
          <w:rFonts w:hint="eastAsia" w:hAnsi="宋体"/>
          <w:sz w:val="24"/>
          <w:szCs w:val="24"/>
          <w:highlight w:val="none"/>
        </w:rPr>
        <w:t xml:space="preserve">需求，保证服务质量。 </w:t>
      </w:r>
    </w:p>
    <w:p w14:paraId="5D20BF9E">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（三）</w:t>
      </w:r>
      <w:r>
        <w:rPr>
          <w:rFonts w:hint="eastAsia" w:hAnsi="宋体"/>
          <w:sz w:val="24"/>
          <w:szCs w:val="24"/>
          <w:highlight w:val="none"/>
        </w:rPr>
        <w:t>售后服务承诺</w:t>
      </w:r>
    </w:p>
    <w:p w14:paraId="4D36C20D">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1、</w:t>
      </w:r>
      <w:r>
        <w:rPr>
          <w:rFonts w:hint="eastAsia"/>
          <w:bCs/>
          <w:sz w:val="24"/>
          <w:szCs w:val="21"/>
          <w:highlight w:val="none"/>
          <w:lang w:eastAsia="zh-CN"/>
        </w:rPr>
        <w:t>乙方</w:t>
      </w:r>
      <w:r>
        <w:rPr>
          <w:rFonts w:hint="eastAsia" w:hAnsi="宋体"/>
          <w:sz w:val="24"/>
          <w:szCs w:val="24"/>
          <w:highlight w:val="none"/>
        </w:rPr>
        <w:t>承诺提供优质的售后服务，保证软件产品的稳定运行。</w:t>
      </w:r>
    </w:p>
    <w:p w14:paraId="0E010783">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2、</w:t>
      </w:r>
      <w:r>
        <w:rPr>
          <w:rFonts w:hint="eastAsia"/>
          <w:bCs/>
          <w:sz w:val="24"/>
          <w:szCs w:val="21"/>
          <w:highlight w:val="none"/>
          <w:lang w:eastAsia="zh-CN"/>
        </w:rPr>
        <w:t>乙方</w:t>
      </w:r>
      <w:r>
        <w:rPr>
          <w:rFonts w:hint="eastAsia" w:hAnsi="宋体"/>
          <w:sz w:val="24"/>
          <w:szCs w:val="24"/>
          <w:highlight w:val="none"/>
        </w:rPr>
        <w:t>承诺在售后服务期间，不断优化服务流程，提高服务效率。</w:t>
      </w:r>
    </w:p>
    <w:p w14:paraId="0A9D4057">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3、</w:t>
      </w:r>
      <w:r>
        <w:rPr>
          <w:rFonts w:hint="eastAsia"/>
          <w:bCs/>
          <w:sz w:val="24"/>
          <w:szCs w:val="21"/>
          <w:highlight w:val="none"/>
          <w:lang w:eastAsia="zh-CN"/>
        </w:rPr>
        <w:t>乙方</w:t>
      </w:r>
      <w:r>
        <w:rPr>
          <w:rFonts w:hint="eastAsia" w:hAnsi="宋体"/>
          <w:sz w:val="24"/>
          <w:szCs w:val="24"/>
          <w:highlight w:val="none"/>
        </w:rPr>
        <w:t>承诺对</w:t>
      </w:r>
      <w:r>
        <w:rPr>
          <w:rFonts w:hint="eastAsia" w:hAnsi="宋体"/>
          <w:sz w:val="24"/>
          <w:szCs w:val="24"/>
          <w:highlight w:val="none"/>
          <w:lang w:val="en-US" w:eastAsia="zh-CN"/>
        </w:rPr>
        <w:t>甲方</w:t>
      </w:r>
      <w:r>
        <w:rPr>
          <w:rFonts w:hint="eastAsia" w:hAnsi="宋体"/>
          <w:sz w:val="24"/>
          <w:szCs w:val="24"/>
          <w:highlight w:val="none"/>
        </w:rPr>
        <w:t>的隐私信息进行保密，不得泄露给第三方。</w:t>
      </w:r>
    </w:p>
    <w:p w14:paraId="7D910EC2">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（四）</w:t>
      </w:r>
      <w:r>
        <w:rPr>
          <w:rFonts w:hint="eastAsia" w:hAnsi="宋体"/>
          <w:sz w:val="24"/>
          <w:szCs w:val="24"/>
          <w:highlight w:val="none"/>
        </w:rPr>
        <w:t>服务质量保证</w:t>
      </w:r>
    </w:p>
    <w:p w14:paraId="5A70FCA6">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1、</w:t>
      </w:r>
      <w:r>
        <w:rPr>
          <w:rFonts w:hint="eastAsia"/>
          <w:bCs/>
          <w:sz w:val="24"/>
          <w:szCs w:val="21"/>
          <w:highlight w:val="none"/>
          <w:lang w:eastAsia="zh-CN"/>
        </w:rPr>
        <w:t>乙方</w:t>
      </w:r>
      <w:r>
        <w:rPr>
          <w:rFonts w:hint="eastAsia" w:hAnsi="宋体"/>
          <w:sz w:val="24"/>
          <w:szCs w:val="24"/>
          <w:highlight w:val="none"/>
        </w:rPr>
        <w:t>应保证所提供售后服务的质量符合行业标准和技术规范。</w:t>
      </w:r>
    </w:p>
    <w:p w14:paraId="3534BC9E">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（1）</w:t>
      </w:r>
      <w:r>
        <w:rPr>
          <w:rFonts w:hint="eastAsia"/>
          <w:bCs/>
          <w:sz w:val="24"/>
          <w:szCs w:val="21"/>
          <w:highlight w:val="none"/>
          <w:lang w:eastAsia="zh-CN"/>
        </w:rPr>
        <w:t>乙方</w:t>
      </w:r>
      <w:r>
        <w:rPr>
          <w:rFonts w:hint="eastAsia" w:hAnsi="宋体"/>
          <w:sz w:val="24"/>
          <w:szCs w:val="24"/>
          <w:highlight w:val="none"/>
        </w:rPr>
        <w:t>将定期对服务人员进行培训，保证其具备解决</w:t>
      </w:r>
      <w:r>
        <w:rPr>
          <w:rFonts w:hint="eastAsia" w:hAnsi="宋体"/>
          <w:sz w:val="24"/>
          <w:szCs w:val="24"/>
          <w:highlight w:val="none"/>
          <w:lang w:val="en-US" w:eastAsia="zh-CN"/>
        </w:rPr>
        <w:t>甲方</w:t>
      </w:r>
      <w:r>
        <w:rPr>
          <w:rFonts w:hint="eastAsia" w:hAnsi="宋体"/>
          <w:sz w:val="24"/>
          <w:szCs w:val="24"/>
          <w:highlight w:val="none"/>
        </w:rPr>
        <w:t>问题的能力。</w:t>
      </w:r>
    </w:p>
    <w:p w14:paraId="0434E5D2">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（2）</w:t>
      </w:r>
      <w:r>
        <w:rPr>
          <w:rFonts w:hint="eastAsia"/>
          <w:bCs/>
          <w:sz w:val="24"/>
          <w:szCs w:val="21"/>
          <w:highlight w:val="none"/>
          <w:lang w:eastAsia="zh-CN"/>
        </w:rPr>
        <w:t>乙方</w:t>
      </w:r>
      <w:r>
        <w:rPr>
          <w:rFonts w:hint="eastAsia" w:hAnsi="宋体"/>
          <w:sz w:val="24"/>
          <w:szCs w:val="24"/>
          <w:highlight w:val="none"/>
        </w:rPr>
        <w:t>将建立服务质量评价体系，定期收集</w:t>
      </w:r>
      <w:r>
        <w:rPr>
          <w:rFonts w:hint="eastAsia" w:hAnsi="宋体"/>
          <w:sz w:val="24"/>
          <w:szCs w:val="24"/>
          <w:highlight w:val="none"/>
          <w:lang w:val="en-US" w:eastAsia="zh-CN"/>
        </w:rPr>
        <w:t>甲方</w:t>
      </w:r>
      <w:r>
        <w:rPr>
          <w:rFonts w:hint="eastAsia" w:hAnsi="宋体"/>
          <w:sz w:val="24"/>
          <w:szCs w:val="24"/>
          <w:highlight w:val="none"/>
        </w:rPr>
        <w:t xml:space="preserve">反馈，以改进服务质量。 </w:t>
      </w:r>
    </w:p>
    <w:p w14:paraId="4C8BD621">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2、</w:t>
      </w:r>
      <w:r>
        <w:rPr>
          <w:rFonts w:hint="eastAsia"/>
          <w:bCs/>
          <w:sz w:val="24"/>
          <w:szCs w:val="21"/>
          <w:highlight w:val="none"/>
          <w:lang w:eastAsia="zh-CN"/>
        </w:rPr>
        <w:t>乙方</w:t>
      </w:r>
      <w:r>
        <w:rPr>
          <w:rFonts w:hint="eastAsia" w:hAnsi="宋体"/>
          <w:sz w:val="24"/>
          <w:szCs w:val="24"/>
          <w:highlight w:val="none"/>
        </w:rPr>
        <w:t>承诺在提供服务时，保证所提供的信息和建议的准确性和可靠性</w:t>
      </w:r>
      <w:r>
        <w:rPr>
          <w:rFonts w:hint="eastAsia" w:hAnsi="宋体"/>
          <w:sz w:val="24"/>
          <w:szCs w:val="24"/>
          <w:highlight w:val="none"/>
          <w:lang w:eastAsia="zh-CN"/>
        </w:rPr>
        <w:t>，</w:t>
      </w:r>
      <w:r>
        <w:rPr>
          <w:rFonts w:hint="eastAsia" w:hAnsi="宋体"/>
          <w:sz w:val="24"/>
          <w:szCs w:val="24"/>
          <w:highlight w:val="none"/>
        </w:rPr>
        <w:t>建立错误报告和跟踪系统，保证所有服务记录可追溯。</w:t>
      </w:r>
    </w:p>
    <w:p w14:paraId="29D5DEFB">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3、</w:t>
      </w:r>
      <w:r>
        <w:rPr>
          <w:rFonts w:hint="eastAsia"/>
          <w:bCs/>
          <w:sz w:val="24"/>
          <w:szCs w:val="21"/>
          <w:highlight w:val="none"/>
          <w:lang w:eastAsia="zh-CN"/>
        </w:rPr>
        <w:t>乙方</w:t>
      </w:r>
      <w:r>
        <w:rPr>
          <w:rFonts w:hint="eastAsia" w:hAnsi="宋体"/>
          <w:sz w:val="24"/>
          <w:szCs w:val="24"/>
          <w:highlight w:val="none"/>
        </w:rPr>
        <w:t>应保证所提供的维护和升级服务不会破坏</w:t>
      </w:r>
      <w:r>
        <w:rPr>
          <w:rFonts w:hint="eastAsia" w:hAnsi="宋体"/>
          <w:sz w:val="24"/>
          <w:szCs w:val="24"/>
          <w:highlight w:val="none"/>
          <w:lang w:val="en-US" w:eastAsia="zh-CN"/>
        </w:rPr>
        <w:t>甲方</w:t>
      </w:r>
      <w:r>
        <w:rPr>
          <w:rFonts w:hint="eastAsia" w:hAnsi="宋体"/>
          <w:sz w:val="24"/>
          <w:szCs w:val="24"/>
          <w:highlight w:val="none"/>
        </w:rPr>
        <w:t>数据的完整性和安全性。</w:t>
      </w:r>
    </w:p>
    <w:p w14:paraId="48CDA705">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（1）</w:t>
      </w:r>
      <w:r>
        <w:rPr>
          <w:rFonts w:hint="eastAsia"/>
          <w:bCs/>
          <w:sz w:val="24"/>
          <w:szCs w:val="21"/>
          <w:highlight w:val="none"/>
          <w:lang w:eastAsia="zh-CN"/>
        </w:rPr>
        <w:t>乙方</w:t>
      </w:r>
      <w:r>
        <w:rPr>
          <w:rFonts w:hint="eastAsia" w:hAnsi="宋体"/>
          <w:sz w:val="24"/>
          <w:szCs w:val="24"/>
          <w:highlight w:val="none"/>
        </w:rPr>
        <w:t>在提供维护和升级服务前，应通知</w:t>
      </w:r>
      <w:r>
        <w:rPr>
          <w:rFonts w:hint="eastAsia" w:hAnsi="宋体"/>
          <w:sz w:val="24"/>
          <w:szCs w:val="24"/>
          <w:highlight w:val="none"/>
          <w:lang w:val="en-US" w:eastAsia="zh-CN"/>
        </w:rPr>
        <w:t>甲方</w:t>
      </w:r>
      <w:r>
        <w:rPr>
          <w:rFonts w:hint="eastAsia" w:hAnsi="宋体"/>
          <w:sz w:val="24"/>
          <w:szCs w:val="24"/>
          <w:highlight w:val="none"/>
        </w:rPr>
        <w:t>并进行数据备份。</w:t>
      </w:r>
    </w:p>
    <w:p w14:paraId="4B17195B">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（2）</w:t>
      </w:r>
      <w:r>
        <w:rPr>
          <w:rFonts w:hint="eastAsia"/>
          <w:bCs/>
          <w:sz w:val="24"/>
          <w:szCs w:val="21"/>
          <w:highlight w:val="none"/>
          <w:lang w:eastAsia="zh-CN"/>
        </w:rPr>
        <w:t>乙方</w:t>
      </w:r>
      <w:r>
        <w:rPr>
          <w:rFonts w:hint="eastAsia" w:hAnsi="宋体"/>
          <w:sz w:val="24"/>
          <w:szCs w:val="24"/>
          <w:highlight w:val="none"/>
        </w:rPr>
        <w:t>应采取必要措施，保证</w:t>
      </w:r>
      <w:r>
        <w:rPr>
          <w:rFonts w:hint="eastAsia" w:hAnsi="宋体"/>
          <w:sz w:val="24"/>
          <w:szCs w:val="24"/>
          <w:highlight w:val="none"/>
          <w:lang w:val="en-US" w:eastAsia="zh-CN"/>
        </w:rPr>
        <w:t>甲方</w:t>
      </w:r>
      <w:r>
        <w:rPr>
          <w:rFonts w:hint="eastAsia" w:hAnsi="宋体"/>
          <w:sz w:val="24"/>
          <w:szCs w:val="24"/>
          <w:highlight w:val="none"/>
        </w:rPr>
        <w:t>数据在服务过程中的安全。</w:t>
      </w:r>
    </w:p>
    <w:p w14:paraId="1549B9B8">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（五）</w:t>
      </w:r>
      <w:r>
        <w:rPr>
          <w:rFonts w:hint="eastAsia" w:hAnsi="宋体"/>
          <w:sz w:val="24"/>
          <w:szCs w:val="24"/>
          <w:highlight w:val="none"/>
        </w:rPr>
        <w:t>服务时间与响应</w:t>
      </w:r>
    </w:p>
    <w:p w14:paraId="009D9EBE">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1、</w:t>
      </w:r>
      <w:r>
        <w:rPr>
          <w:rFonts w:hint="eastAsia"/>
          <w:bCs/>
          <w:sz w:val="24"/>
          <w:szCs w:val="21"/>
          <w:highlight w:val="none"/>
          <w:lang w:eastAsia="zh-CN"/>
        </w:rPr>
        <w:t>乙方</w:t>
      </w:r>
      <w:r>
        <w:rPr>
          <w:rFonts w:hint="eastAsia" w:hAnsi="宋体"/>
          <w:sz w:val="24"/>
          <w:szCs w:val="24"/>
          <w:highlight w:val="none"/>
        </w:rPr>
        <w:t xml:space="preserve">应保证在正常工作时间内提供即时的技术支持服务。 </w:t>
      </w:r>
    </w:p>
    <w:p w14:paraId="6BE21CDB">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（1）</w:t>
      </w:r>
      <w:r>
        <w:rPr>
          <w:rFonts w:hint="eastAsia" w:hAnsi="宋体"/>
          <w:sz w:val="24"/>
          <w:szCs w:val="24"/>
          <w:highlight w:val="none"/>
        </w:rPr>
        <w:t xml:space="preserve">正常工作时间定义为每周一至周五，上午9:00 至下午5:00(法定节假日除外)。 </w:t>
      </w:r>
    </w:p>
    <w:p w14:paraId="607D29F3">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（2）</w:t>
      </w:r>
      <w:r>
        <w:rPr>
          <w:rFonts w:hint="eastAsia"/>
          <w:bCs/>
          <w:sz w:val="24"/>
          <w:szCs w:val="21"/>
          <w:highlight w:val="none"/>
          <w:lang w:eastAsia="zh-CN"/>
        </w:rPr>
        <w:t>乙方</w:t>
      </w:r>
      <w:r>
        <w:rPr>
          <w:rFonts w:hint="eastAsia" w:hAnsi="宋体"/>
          <w:sz w:val="24"/>
          <w:szCs w:val="24"/>
          <w:highlight w:val="none"/>
        </w:rPr>
        <w:t>应提供24小时在线客服支持，以处理紧急情况。</w:t>
      </w:r>
    </w:p>
    <w:p w14:paraId="0F3271C6">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2、</w:t>
      </w:r>
      <w:r>
        <w:rPr>
          <w:rFonts w:hint="eastAsia"/>
          <w:bCs/>
          <w:sz w:val="24"/>
          <w:szCs w:val="21"/>
          <w:highlight w:val="none"/>
          <w:lang w:eastAsia="zh-CN"/>
        </w:rPr>
        <w:t>乙方</w:t>
      </w:r>
      <w:r>
        <w:rPr>
          <w:rFonts w:hint="eastAsia" w:hAnsi="宋体"/>
          <w:sz w:val="24"/>
          <w:szCs w:val="24"/>
          <w:highlight w:val="none"/>
        </w:rPr>
        <w:t>对于</w:t>
      </w:r>
      <w:r>
        <w:rPr>
          <w:rFonts w:hint="eastAsia" w:hAnsi="宋体"/>
          <w:sz w:val="24"/>
          <w:szCs w:val="24"/>
          <w:highlight w:val="none"/>
          <w:lang w:val="en-US" w:eastAsia="zh-CN"/>
        </w:rPr>
        <w:t>甲方</w:t>
      </w:r>
      <w:r>
        <w:rPr>
          <w:rFonts w:hint="eastAsia" w:hAnsi="宋体"/>
          <w:sz w:val="24"/>
          <w:szCs w:val="24"/>
          <w:highlight w:val="none"/>
        </w:rPr>
        <w:t>的服务请求，应按照以下响应时间进行回复:</w:t>
      </w:r>
    </w:p>
    <w:p w14:paraId="3D498B2F">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（1）</w:t>
      </w:r>
      <w:r>
        <w:rPr>
          <w:rFonts w:hint="eastAsia" w:hAnsi="宋体"/>
          <w:sz w:val="24"/>
          <w:szCs w:val="24"/>
          <w:highlight w:val="none"/>
        </w:rPr>
        <w:t>对于一般性问题，</w:t>
      </w:r>
      <w:r>
        <w:rPr>
          <w:rFonts w:hint="eastAsia"/>
          <w:bCs/>
          <w:sz w:val="24"/>
          <w:szCs w:val="21"/>
          <w:highlight w:val="none"/>
          <w:lang w:eastAsia="zh-CN"/>
        </w:rPr>
        <w:t>乙方</w:t>
      </w:r>
      <w:r>
        <w:rPr>
          <w:rFonts w:hint="eastAsia" w:hAnsi="宋体"/>
          <w:sz w:val="24"/>
          <w:szCs w:val="24"/>
          <w:highlight w:val="none"/>
        </w:rPr>
        <w:t xml:space="preserve">应在2小时内响应。 </w:t>
      </w:r>
    </w:p>
    <w:p w14:paraId="2388B288">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（2）</w:t>
      </w:r>
      <w:r>
        <w:rPr>
          <w:rFonts w:hint="eastAsia" w:hAnsi="宋体"/>
          <w:sz w:val="24"/>
          <w:szCs w:val="24"/>
          <w:highlight w:val="none"/>
        </w:rPr>
        <w:t>对于紧急问题，</w:t>
      </w:r>
      <w:r>
        <w:rPr>
          <w:rFonts w:hint="eastAsia"/>
          <w:bCs/>
          <w:sz w:val="24"/>
          <w:szCs w:val="21"/>
          <w:highlight w:val="none"/>
          <w:lang w:eastAsia="zh-CN"/>
        </w:rPr>
        <w:t>乙方</w:t>
      </w:r>
      <w:r>
        <w:rPr>
          <w:rFonts w:hint="eastAsia" w:hAnsi="宋体"/>
          <w:sz w:val="24"/>
          <w:szCs w:val="24"/>
          <w:highlight w:val="none"/>
        </w:rPr>
        <w:t xml:space="preserve">应在1小时内响应。 </w:t>
      </w:r>
    </w:p>
    <w:p w14:paraId="5AEAEC36">
      <w:pPr>
        <w:tabs>
          <w:tab w:val="left" w:pos="1350"/>
        </w:tabs>
        <w:adjustRightInd w:val="0"/>
        <w:spacing w:line="480" w:lineRule="exact"/>
        <w:ind w:firstLine="480" w:firstLineChars="200"/>
        <w:jc w:val="left"/>
        <w:textAlignment w:val="top"/>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3、乙方应保证在服务响应时间内提供有效的解决方案或临时措施。</w:t>
      </w:r>
    </w:p>
    <w:p w14:paraId="095317C3">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rPr>
      </w:pPr>
      <w:r>
        <w:rPr>
          <w:rFonts w:hint="eastAsia" w:ascii="宋体" w:hAnsi="宋体" w:eastAsia="宋体"/>
          <w:b w:val="0"/>
          <w:bCs/>
          <w:sz w:val="24"/>
          <w:highlight w:val="none"/>
          <w:lang w:val="en-US" w:eastAsia="zh-CN"/>
        </w:rPr>
        <w:t>（六）</w:t>
      </w:r>
      <w:r>
        <w:rPr>
          <w:rFonts w:hint="eastAsia" w:ascii="宋体" w:hAnsi="宋体" w:eastAsia="宋体"/>
          <w:b w:val="0"/>
          <w:bCs/>
          <w:sz w:val="24"/>
          <w:highlight w:val="none"/>
        </w:rPr>
        <w:t>其他服务：</w:t>
      </w:r>
    </w:p>
    <w:p w14:paraId="2EC7A916">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rPr>
      </w:pPr>
      <w:r>
        <w:rPr>
          <w:rFonts w:hint="eastAsia" w:ascii="宋体" w:hAnsi="宋体" w:eastAsia="宋体"/>
          <w:b w:val="0"/>
          <w:bCs/>
          <w:sz w:val="24"/>
          <w:highlight w:val="none"/>
        </w:rPr>
        <w:t>（1）维保期满后，如甲方需要，乙方必须提供维护服务，甲方和乙方双方同意，维保期满后每年维护费不超过合同总价格的百分之</w:t>
      </w:r>
      <w:r>
        <w:rPr>
          <w:rFonts w:hint="eastAsia" w:ascii="宋体" w:hAnsi="宋体" w:eastAsia="宋体"/>
          <w:b w:val="0"/>
          <w:bCs/>
          <w:sz w:val="24"/>
          <w:highlight w:val="none"/>
          <w:lang w:val="en-US" w:eastAsia="zh-CN"/>
        </w:rPr>
        <w:t>三</w:t>
      </w:r>
      <w:r>
        <w:rPr>
          <w:rFonts w:hint="eastAsia" w:ascii="宋体" w:hAnsi="宋体" w:eastAsia="宋体"/>
          <w:b w:val="0"/>
          <w:bCs/>
          <w:sz w:val="24"/>
          <w:highlight w:val="none"/>
        </w:rPr>
        <w:t>。</w:t>
      </w:r>
    </w:p>
    <w:p w14:paraId="59E2355B">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rPr>
      </w:pPr>
      <w:r>
        <w:rPr>
          <w:rFonts w:hint="eastAsia" w:ascii="宋体" w:hAnsi="宋体" w:eastAsia="宋体"/>
          <w:b w:val="0"/>
          <w:bCs/>
          <w:sz w:val="24"/>
          <w:highlight w:val="none"/>
        </w:rPr>
        <w:t>（2）维保期满后，乙方不能使用任何方式限制软件使用。</w:t>
      </w:r>
    </w:p>
    <w:p w14:paraId="5AD70E19">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rPr>
      </w:pPr>
      <w:r>
        <w:rPr>
          <w:rFonts w:hint="eastAsia" w:ascii="宋体" w:hAnsi="宋体" w:eastAsia="宋体"/>
          <w:b w:val="0"/>
          <w:bCs/>
          <w:sz w:val="24"/>
          <w:highlight w:val="none"/>
        </w:rPr>
        <w:t>（</w:t>
      </w:r>
      <w:r>
        <w:rPr>
          <w:rFonts w:hint="eastAsia" w:ascii="宋体" w:hAnsi="宋体" w:eastAsia="宋体"/>
          <w:b w:val="0"/>
          <w:bCs/>
          <w:sz w:val="24"/>
          <w:highlight w:val="none"/>
          <w:lang w:val="en-US" w:eastAsia="zh-CN"/>
        </w:rPr>
        <w:t>3</w:t>
      </w:r>
      <w:r>
        <w:rPr>
          <w:rFonts w:hint="eastAsia" w:ascii="宋体" w:hAnsi="宋体" w:eastAsia="宋体"/>
          <w:b w:val="0"/>
          <w:bCs/>
          <w:sz w:val="24"/>
          <w:highlight w:val="none"/>
        </w:rPr>
        <w:t>）软件系统符合信息安全等级保护（最新版）规定，同时应确保信息系统安全，依据国家相关法规和标准，防范和应对信息安全风险，保障网络、系统和数据的安全。</w:t>
      </w:r>
    </w:p>
    <w:p w14:paraId="130E24D9">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rPr>
      </w:pPr>
      <w:r>
        <w:rPr>
          <w:rFonts w:hint="eastAsia" w:ascii="宋体" w:hAnsi="宋体" w:eastAsia="宋体"/>
          <w:b w:val="0"/>
          <w:bCs/>
          <w:sz w:val="24"/>
          <w:highlight w:val="none"/>
        </w:rPr>
        <w:t>（</w:t>
      </w:r>
      <w:r>
        <w:rPr>
          <w:rFonts w:hint="eastAsia" w:ascii="宋体" w:hAnsi="宋体" w:eastAsia="宋体"/>
          <w:b w:val="0"/>
          <w:bCs/>
          <w:sz w:val="24"/>
          <w:highlight w:val="none"/>
          <w:lang w:val="en-US" w:eastAsia="zh-CN"/>
        </w:rPr>
        <w:t>4</w:t>
      </w:r>
      <w:r>
        <w:rPr>
          <w:rFonts w:hint="eastAsia" w:ascii="宋体" w:hAnsi="宋体" w:eastAsia="宋体"/>
          <w:b w:val="0"/>
          <w:bCs/>
          <w:sz w:val="24"/>
          <w:highlight w:val="none"/>
        </w:rPr>
        <w:t>）合同期内，乙方应采取必要的安全措施，保障甲方数据和系统的安全，防范各类网络安全事件的发生。乙方应建立健全的网络安全管理体系，实施严格的数据备份和恢复策略，保证系统和数据的安全性和可用性。</w:t>
      </w:r>
    </w:p>
    <w:p w14:paraId="55AE0F71">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rPr>
      </w:pPr>
      <w:r>
        <w:rPr>
          <w:rFonts w:hint="eastAsia" w:ascii="宋体" w:hAnsi="宋体" w:eastAsia="宋体"/>
          <w:b w:val="0"/>
          <w:bCs/>
          <w:sz w:val="24"/>
          <w:highlight w:val="none"/>
        </w:rPr>
        <w:t>（</w:t>
      </w:r>
      <w:r>
        <w:rPr>
          <w:rFonts w:hint="eastAsia" w:ascii="宋体" w:hAnsi="宋体" w:eastAsia="宋体"/>
          <w:b w:val="0"/>
          <w:bCs/>
          <w:sz w:val="24"/>
          <w:highlight w:val="none"/>
          <w:lang w:val="en-US" w:eastAsia="zh-CN"/>
        </w:rPr>
        <w:t>5</w:t>
      </w:r>
      <w:r>
        <w:rPr>
          <w:rFonts w:hint="eastAsia" w:ascii="宋体" w:hAnsi="宋体" w:eastAsia="宋体"/>
          <w:b w:val="0"/>
          <w:bCs/>
          <w:sz w:val="24"/>
          <w:highlight w:val="none"/>
        </w:rPr>
        <w:t>）乙方应采取合理的安全措施，防止甲方数据和系统的非授权访问、篡改或泄漏。乙方应按照甲方的要求，落实甲方提出的安全控制措施建议，并根据甲方的安全策略进行系统配置和安全加固。</w:t>
      </w:r>
    </w:p>
    <w:p w14:paraId="2CBF225C">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rPr>
      </w:pPr>
      <w:r>
        <w:rPr>
          <w:rFonts w:hint="eastAsia" w:ascii="宋体" w:hAnsi="宋体" w:eastAsia="宋体"/>
          <w:b w:val="0"/>
          <w:bCs/>
          <w:sz w:val="24"/>
          <w:highlight w:val="none"/>
        </w:rPr>
        <w:t>（</w:t>
      </w:r>
      <w:r>
        <w:rPr>
          <w:rFonts w:hint="eastAsia" w:ascii="宋体" w:hAnsi="宋体" w:eastAsia="宋体"/>
          <w:b w:val="0"/>
          <w:bCs/>
          <w:sz w:val="24"/>
          <w:highlight w:val="none"/>
          <w:lang w:val="en-US" w:eastAsia="zh-CN"/>
        </w:rPr>
        <w:t>6</w:t>
      </w:r>
      <w:r>
        <w:rPr>
          <w:rFonts w:hint="eastAsia" w:ascii="宋体" w:hAnsi="宋体" w:eastAsia="宋体"/>
          <w:b w:val="0"/>
          <w:bCs/>
          <w:sz w:val="24"/>
          <w:highlight w:val="none"/>
        </w:rPr>
        <w:t>）在合同期内，乙方应对所有安全事件进行记录、分析和报告，及时通知甲方并配合甲方进行事件处理和恢复工作。乙方应定期进行安全审计和检查，及时发现和处理潜在的安全风险和漏洞。</w:t>
      </w:r>
    </w:p>
    <w:p w14:paraId="6D35AF81">
      <w:pPr>
        <w:tabs>
          <w:tab w:val="left" w:pos="1350"/>
        </w:tabs>
        <w:adjustRightInd w:val="0"/>
        <w:spacing w:line="480" w:lineRule="exact"/>
        <w:ind w:firstLine="482" w:firstLineChars="200"/>
        <w:jc w:val="left"/>
        <w:textAlignment w:val="top"/>
        <w:rPr>
          <w:rFonts w:hint="eastAsia" w:ascii="宋体" w:hAnsi="宋体" w:eastAsia="宋体"/>
          <w:b/>
          <w:bCs w:val="0"/>
          <w:sz w:val="24"/>
          <w:szCs w:val="24"/>
          <w:highlight w:val="none"/>
        </w:rPr>
      </w:pPr>
      <w:r>
        <w:rPr>
          <w:rFonts w:hint="eastAsia" w:ascii="宋体" w:hAnsi="宋体" w:eastAsia="宋体"/>
          <w:b/>
          <w:bCs w:val="0"/>
          <w:sz w:val="24"/>
          <w:szCs w:val="24"/>
          <w:highlight w:val="none"/>
        </w:rPr>
        <w:t>第三条</w:t>
      </w:r>
      <w:r>
        <w:rPr>
          <w:rFonts w:hint="eastAsia" w:ascii="宋体" w:hAnsi="宋体" w:eastAsia="宋体"/>
          <w:b/>
          <w:bCs w:val="0"/>
          <w:sz w:val="24"/>
          <w:szCs w:val="24"/>
          <w:highlight w:val="none"/>
          <w:lang w:val="en-US" w:eastAsia="zh-CN"/>
        </w:rPr>
        <w:t xml:space="preserve">  </w:t>
      </w:r>
      <w:r>
        <w:rPr>
          <w:rFonts w:hint="eastAsia" w:ascii="宋体" w:hAnsi="宋体" w:eastAsia="宋体"/>
          <w:b/>
          <w:bCs w:val="0"/>
          <w:sz w:val="24"/>
          <w:szCs w:val="24"/>
          <w:highlight w:val="none"/>
        </w:rPr>
        <w:t>项目的结算</w:t>
      </w:r>
    </w:p>
    <w:p w14:paraId="01014D57">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lang w:val="en-US" w:eastAsia="zh-CN"/>
        </w:rPr>
      </w:pPr>
      <w:r>
        <w:rPr>
          <w:rFonts w:hint="eastAsia" w:ascii="宋体" w:hAnsi="宋体" w:eastAsia="宋体"/>
          <w:b w:val="0"/>
          <w:bCs/>
          <w:sz w:val="24"/>
          <w:highlight w:val="none"/>
        </w:rPr>
        <w:t>（一）</w:t>
      </w:r>
      <w:r>
        <w:rPr>
          <w:rFonts w:hint="eastAsia" w:ascii="宋体" w:hAnsi="宋体" w:eastAsia="宋体"/>
          <w:b w:val="0"/>
          <w:bCs/>
          <w:sz w:val="24"/>
          <w:highlight w:val="none"/>
          <w:lang w:val="en-US" w:eastAsia="zh-CN"/>
        </w:rPr>
        <w:t>付款方式：银行汇款。</w:t>
      </w:r>
    </w:p>
    <w:p w14:paraId="2FF94A36">
      <w:pPr>
        <w:tabs>
          <w:tab w:val="left" w:pos="1350"/>
        </w:tabs>
        <w:adjustRightInd w:val="0"/>
        <w:spacing w:line="480" w:lineRule="exact"/>
        <w:ind w:firstLine="480" w:firstLineChars="200"/>
        <w:jc w:val="left"/>
        <w:textAlignment w:val="top"/>
        <w:rPr>
          <w:rFonts w:hint="default" w:ascii="宋体" w:hAnsi="宋体" w:eastAsia="宋体"/>
          <w:b w:val="0"/>
          <w:bCs/>
          <w:sz w:val="24"/>
          <w:highlight w:val="none"/>
          <w:lang w:val="en-US" w:eastAsia="zh-CN"/>
        </w:rPr>
      </w:pPr>
      <w:r>
        <w:rPr>
          <w:rFonts w:hint="eastAsia" w:ascii="宋体" w:hAnsi="宋体" w:eastAsia="宋体"/>
          <w:b w:val="0"/>
          <w:bCs/>
          <w:sz w:val="24"/>
          <w:highlight w:val="none"/>
          <w:lang w:val="en-US" w:eastAsia="zh-CN"/>
        </w:rPr>
        <w:t>（二）付款周期：分期付款</w:t>
      </w:r>
    </w:p>
    <w:p w14:paraId="76B70111">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rPr>
      </w:pPr>
      <w:r>
        <w:rPr>
          <w:rFonts w:hint="eastAsia" w:ascii="宋体" w:hAnsi="宋体" w:eastAsia="宋体"/>
          <w:b w:val="0"/>
          <w:bCs/>
          <w:sz w:val="24"/>
          <w:highlight w:val="none"/>
        </w:rPr>
        <w:t>第一期款：合同签订生效，且甲方收到乙方开具符合国家财务规定的等额发票后的</w:t>
      </w:r>
      <w:r>
        <w:rPr>
          <w:rFonts w:hint="eastAsia" w:ascii="宋体" w:hAnsi="宋体" w:eastAsia="宋体"/>
          <w:b w:val="0"/>
          <w:bCs/>
          <w:sz w:val="24"/>
          <w:highlight w:val="none"/>
          <w:lang w:val="en-US" w:eastAsia="zh-CN"/>
        </w:rPr>
        <w:t>10</w:t>
      </w:r>
      <w:r>
        <w:rPr>
          <w:rFonts w:hint="eastAsia" w:ascii="宋体" w:hAnsi="宋体" w:eastAsia="宋体"/>
          <w:b w:val="0"/>
          <w:bCs/>
          <w:sz w:val="24"/>
          <w:highlight w:val="none"/>
        </w:rPr>
        <w:t>个工作日内，甲方将合同总金额的</w:t>
      </w:r>
      <w:r>
        <w:rPr>
          <w:rFonts w:hint="eastAsia" w:ascii="宋体" w:hAnsi="宋体" w:eastAsia="宋体"/>
          <w:b w:val="0"/>
          <w:bCs/>
          <w:sz w:val="24"/>
          <w:highlight w:val="none"/>
          <w:lang w:val="en-US" w:eastAsia="zh-CN"/>
        </w:rPr>
        <w:t>3</w:t>
      </w:r>
      <w:r>
        <w:rPr>
          <w:rFonts w:hint="eastAsia" w:ascii="宋体" w:hAnsi="宋体" w:eastAsia="宋体"/>
          <w:b w:val="0"/>
          <w:bCs/>
          <w:sz w:val="24"/>
          <w:highlight w:val="none"/>
        </w:rPr>
        <w:t>0%作为预付款支付给乙方，即（小写）    元（人民币    整）；</w:t>
      </w:r>
    </w:p>
    <w:p w14:paraId="1235FC4D">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rPr>
      </w:pPr>
      <w:r>
        <w:rPr>
          <w:rFonts w:hint="eastAsia" w:ascii="宋体" w:hAnsi="宋体" w:eastAsia="宋体"/>
          <w:b w:val="0"/>
          <w:bCs/>
          <w:sz w:val="24"/>
          <w:highlight w:val="none"/>
        </w:rPr>
        <w:t>第二期款：系统完工整体验收合格，且甲方收到乙方开具符合国家财务规定的等额发票后的</w:t>
      </w:r>
      <w:r>
        <w:rPr>
          <w:rFonts w:hint="eastAsia" w:ascii="宋体" w:hAnsi="宋体" w:eastAsia="宋体"/>
          <w:b w:val="0"/>
          <w:bCs/>
          <w:sz w:val="24"/>
          <w:highlight w:val="none"/>
          <w:lang w:val="en-US" w:eastAsia="zh-CN"/>
        </w:rPr>
        <w:t>1</w:t>
      </w:r>
      <w:r>
        <w:rPr>
          <w:rFonts w:hint="eastAsia" w:ascii="宋体" w:hAnsi="宋体" w:eastAsia="宋体"/>
          <w:b w:val="0"/>
          <w:bCs/>
          <w:sz w:val="24"/>
          <w:highlight w:val="none"/>
        </w:rPr>
        <w:t>0个工作日内，甲方将</w:t>
      </w:r>
      <w:r>
        <w:rPr>
          <w:rFonts w:hint="eastAsia" w:ascii="宋体" w:hAnsi="宋体" w:eastAsia="宋体"/>
          <w:b w:val="0"/>
          <w:bCs/>
          <w:sz w:val="24"/>
          <w:highlight w:val="none"/>
          <w:lang w:val="en-US" w:eastAsia="zh-CN"/>
        </w:rPr>
        <w:t>余下</w:t>
      </w:r>
      <w:r>
        <w:rPr>
          <w:rFonts w:hint="eastAsia" w:ascii="宋体" w:hAnsi="宋体" w:eastAsia="宋体"/>
          <w:b w:val="0"/>
          <w:bCs/>
          <w:sz w:val="24"/>
          <w:highlight w:val="none"/>
        </w:rPr>
        <w:t>合同总金额的</w:t>
      </w:r>
      <w:r>
        <w:rPr>
          <w:rFonts w:hint="eastAsia" w:ascii="宋体" w:hAnsi="宋体" w:eastAsia="宋体"/>
          <w:b w:val="0"/>
          <w:bCs/>
          <w:sz w:val="24"/>
          <w:highlight w:val="none"/>
          <w:lang w:val="en-US" w:eastAsia="zh-CN"/>
        </w:rPr>
        <w:t>70</w:t>
      </w:r>
      <w:r>
        <w:rPr>
          <w:rFonts w:hint="eastAsia" w:ascii="宋体" w:hAnsi="宋体" w:eastAsia="宋体"/>
          <w:b w:val="0"/>
          <w:bCs/>
          <w:sz w:val="24"/>
          <w:highlight w:val="none"/>
        </w:rPr>
        <w:t>%支付给乙方，即（小写）   元（人民币   整）；</w:t>
      </w:r>
    </w:p>
    <w:p w14:paraId="6F200C4B">
      <w:pPr>
        <w:tabs>
          <w:tab w:val="left" w:pos="1350"/>
        </w:tabs>
        <w:adjustRightInd w:val="0"/>
        <w:spacing w:line="480" w:lineRule="exact"/>
        <w:ind w:firstLine="482" w:firstLineChars="200"/>
        <w:jc w:val="left"/>
        <w:textAlignment w:val="top"/>
        <w:rPr>
          <w:rFonts w:hint="eastAsia" w:ascii="宋体" w:hAnsi="宋体" w:eastAsia="宋体"/>
          <w:b/>
          <w:bCs w:val="0"/>
          <w:sz w:val="24"/>
          <w:szCs w:val="24"/>
          <w:highlight w:val="none"/>
        </w:rPr>
      </w:pPr>
      <w:r>
        <w:rPr>
          <w:rFonts w:hint="eastAsia" w:ascii="宋体" w:hAnsi="宋体" w:eastAsia="宋体"/>
          <w:b/>
          <w:bCs w:val="0"/>
          <w:sz w:val="24"/>
          <w:szCs w:val="24"/>
          <w:highlight w:val="none"/>
        </w:rPr>
        <w:t>第四条</w:t>
      </w:r>
      <w:r>
        <w:rPr>
          <w:rFonts w:hint="eastAsia" w:ascii="宋体" w:hAnsi="宋体" w:eastAsia="宋体"/>
          <w:b/>
          <w:bCs w:val="0"/>
          <w:sz w:val="24"/>
          <w:szCs w:val="24"/>
          <w:highlight w:val="none"/>
          <w:lang w:val="en-US" w:eastAsia="zh-CN"/>
        </w:rPr>
        <w:t xml:space="preserve">  </w:t>
      </w:r>
      <w:r>
        <w:rPr>
          <w:rFonts w:hint="eastAsia" w:ascii="宋体" w:hAnsi="宋体" w:eastAsia="宋体"/>
          <w:b/>
          <w:bCs w:val="0"/>
          <w:sz w:val="24"/>
          <w:szCs w:val="24"/>
          <w:highlight w:val="none"/>
        </w:rPr>
        <w:t>项目工期及培训</w:t>
      </w:r>
    </w:p>
    <w:p w14:paraId="0E9C78A3">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rPr>
      </w:pPr>
      <w:r>
        <w:rPr>
          <w:rFonts w:hint="eastAsia" w:ascii="宋体" w:hAnsi="宋体" w:eastAsia="宋体"/>
          <w:b w:val="0"/>
          <w:bCs/>
          <w:sz w:val="24"/>
          <w:highlight w:val="none"/>
        </w:rPr>
        <w:t>（一）完工期：乙方应在采购合同签订后90天内</w:t>
      </w:r>
      <w:r>
        <w:rPr>
          <w:rFonts w:hint="eastAsia" w:ascii="宋体" w:hAnsi="宋体" w:eastAsia="宋体"/>
          <w:b w:val="0"/>
          <w:bCs/>
          <w:sz w:val="24"/>
          <w:highlight w:val="none"/>
          <w:lang w:val="en-US" w:eastAsia="zh-CN"/>
        </w:rPr>
        <w:t>验收合格并</w:t>
      </w:r>
      <w:r>
        <w:rPr>
          <w:rFonts w:hint="eastAsia" w:ascii="宋体" w:hAnsi="宋体" w:eastAsia="宋体"/>
          <w:b w:val="0"/>
          <w:bCs/>
          <w:sz w:val="24"/>
          <w:highlight w:val="none"/>
        </w:rPr>
        <w:t>交付</w:t>
      </w:r>
      <w:r>
        <w:rPr>
          <w:rFonts w:hint="eastAsia" w:ascii="宋体" w:hAnsi="宋体" w:eastAsia="宋体"/>
          <w:b w:val="0"/>
          <w:bCs/>
          <w:sz w:val="24"/>
          <w:highlight w:val="none"/>
          <w:lang w:val="en-US" w:eastAsia="zh-CN"/>
        </w:rPr>
        <w:t>使用</w:t>
      </w:r>
      <w:r>
        <w:rPr>
          <w:rFonts w:hint="eastAsia" w:ascii="宋体" w:hAnsi="宋体" w:eastAsia="宋体"/>
          <w:b w:val="0"/>
          <w:bCs/>
          <w:sz w:val="24"/>
          <w:highlight w:val="none"/>
        </w:rPr>
        <w:t>。</w:t>
      </w:r>
    </w:p>
    <w:p w14:paraId="3CC21FD6">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rPr>
      </w:pPr>
      <w:r>
        <w:rPr>
          <w:rFonts w:hint="eastAsia" w:ascii="宋体" w:hAnsi="宋体" w:eastAsia="宋体"/>
          <w:b w:val="0"/>
          <w:bCs/>
          <w:sz w:val="24"/>
          <w:highlight w:val="none"/>
        </w:rPr>
        <w:t>（二）培训：</w:t>
      </w:r>
      <w:r>
        <w:rPr>
          <w:rFonts w:hint="eastAsia" w:ascii="宋体" w:hAnsi="宋体" w:eastAsia="宋体"/>
          <w:b w:val="0"/>
          <w:bCs/>
          <w:sz w:val="24"/>
          <w:highlight w:val="none"/>
          <w:lang w:val="en-US" w:eastAsia="zh-CN"/>
        </w:rPr>
        <w:t>根据乙方响应文件的培训计划方案提供培训服务，</w:t>
      </w:r>
      <w:r>
        <w:rPr>
          <w:rFonts w:hint="eastAsia" w:ascii="宋体" w:hAnsi="宋体" w:eastAsia="宋体"/>
          <w:b w:val="0"/>
          <w:bCs/>
          <w:sz w:val="24"/>
          <w:highlight w:val="none"/>
        </w:rPr>
        <w:t>培训对象包括甲方系统管理员、管理人员、操作员。培训内容为系统中涉及的相关技术内容；管理人员培训内容为系统流程和相关管理思想，操作员培训内容为系统的操作培训，乙方须培训至甲方上述人员掌握操作技术为止。</w:t>
      </w:r>
    </w:p>
    <w:p w14:paraId="5188D3E2">
      <w:pPr>
        <w:tabs>
          <w:tab w:val="left" w:pos="1350"/>
        </w:tabs>
        <w:adjustRightInd w:val="0"/>
        <w:spacing w:line="480" w:lineRule="exact"/>
        <w:ind w:firstLine="482" w:firstLineChars="200"/>
        <w:jc w:val="left"/>
        <w:textAlignment w:val="top"/>
        <w:rPr>
          <w:rFonts w:hint="eastAsia" w:ascii="宋体" w:hAnsi="宋体" w:eastAsia="宋体"/>
          <w:b/>
          <w:bCs w:val="0"/>
          <w:sz w:val="24"/>
          <w:szCs w:val="24"/>
          <w:highlight w:val="none"/>
        </w:rPr>
      </w:pPr>
      <w:r>
        <w:rPr>
          <w:rFonts w:hint="eastAsia" w:ascii="宋体" w:hAnsi="宋体" w:eastAsia="宋体"/>
          <w:b/>
          <w:bCs w:val="0"/>
          <w:sz w:val="24"/>
          <w:szCs w:val="24"/>
          <w:highlight w:val="none"/>
        </w:rPr>
        <w:t>第五条</w:t>
      </w:r>
      <w:r>
        <w:rPr>
          <w:rFonts w:hint="eastAsia" w:ascii="宋体" w:hAnsi="宋体" w:eastAsia="宋体"/>
          <w:b/>
          <w:bCs w:val="0"/>
          <w:sz w:val="24"/>
          <w:szCs w:val="24"/>
          <w:highlight w:val="none"/>
          <w:lang w:val="en-US" w:eastAsia="zh-CN"/>
        </w:rPr>
        <w:t xml:space="preserve">  </w:t>
      </w:r>
      <w:r>
        <w:rPr>
          <w:rFonts w:hint="eastAsia" w:ascii="宋体" w:hAnsi="宋体" w:eastAsia="宋体"/>
          <w:b/>
          <w:bCs w:val="0"/>
          <w:sz w:val="24"/>
          <w:szCs w:val="24"/>
          <w:highlight w:val="none"/>
        </w:rPr>
        <w:t>甲方责任</w:t>
      </w:r>
    </w:p>
    <w:p w14:paraId="4473D5FB">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rPr>
      </w:pPr>
      <w:r>
        <w:rPr>
          <w:rFonts w:hint="eastAsia" w:ascii="宋体" w:hAnsi="宋体" w:eastAsia="宋体"/>
          <w:b w:val="0"/>
          <w:bCs/>
          <w:sz w:val="24"/>
          <w:highlight w:val="none"/>
        </w:rPr>
        <w:t>（一）项目实施过程，甲方有对项目进度、软件系统运行情况进行监督控制的职责和权利。</w:t>
      </w:r>
    </w:p>
    <w:p w14:paraId="5E24417B">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rPr>
      </w:pPr>
      <w:r>
        <w:rPr>
          <w:rFonts w:hint="eastAsia" w:ascii="宋体" w:hAnsi="宋体" w:eastAsia="宋体"/>
          <w:b w:val="0"/>
          <w:bCs/>
          <w:sz w:val="24"/>
          <w:highlight w:val="none"/>
        </w:rPr>
        <w:t>（二）甲方须配合乙方的业务需求调研，向乙方提供本项目</w:t>
      </w:r>
      <w:r>
        <w:rPr>
          <w:rFonts w:hint="eastAsia" w:ascii="宋体" w:hAnsi="宋体" w:eastAsia="宋体"/>
          <w:b w:val="0"/>
          <w:bCs/>
          <w:sz w:val="24"/>
          <w:highlight w:val="none"/>
          <w:lang w:val="en-US" w:eastAsia="zh-CN"/>
        </w:rPr>
        <w:t>实施</w:t>
      </w:r>
      <w:r>
        <w:rPr>
          <w:rFonts w:hint="eastAsia" w:ascii="宋体" w:hAnsi="宋体" w:eastAsia="宋体"/>
          <w:b w:val="0"/>
          <w:bCs/>
          <w:sz w:val="24"/>
          <w:highlight w:val="none"/>
        </w:rPr>
        <w:t>所需资料（图片、文字等），并保证所提供资料的按时性和准确性；</w:t>
      </w:r>
    </w:p>
    <w:p w14:paraId="2EC83634">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rPr>
      </w:pPr>
      <w:r>
        <w:rPr>
          <w:rFonts w:hint="eastAsia" w:ascii="宋体" w:hAnsi="宋体" w:eastAsia="宋体"/>
          <w:b w:val="0"/>
          <w:bCs/>
          <w:sz w:val="24"/>
          <w:highlight w:val="none"/>
        </w:rPr>
        <w:t>（三）甲方负责乙方</w:t>
      </w:r>
      <w:r>
        <w:rPr>
          <w:rFonts w:hint="eastAsia" w:ascii="宋体" w:hAnsi="宋体" w:eastAsia="宋体"/>
          <w:b w:val="0"/>
          <w:bCs/>
          <w:sz w:val="24"/>
          <w:highlight w:val="none"/>
          <w:lang w:val="en-US" w:eastAsia="zh-CN"/>
        </w:rPr>
        <w:t>与</w:t>
      </w:r>
      <w:r>
        <w:rPr>
          <w:rFonts w:hint="eastAsia" w:ascii="宋体" w:hAnsi="宋体" w:eastAsia="宋体"/>
          <w:b w:val="0"/>
          <w:bCs/>
          <w:sz w:val="24"/>
          <w:highlight w:val="none"/>
        </w:rPr>
        <w:t>相关部门</w:t>
      </w:r>
      <w:r>
        <w:rPr>
          <w:rFonts w:hint="eastAsia" w:ascii="宋体" w:hAnsi="宋体" w:eastAsia="宋体"/>
          <w:b w:val="0"/>
          <w:bCs/>
          <w:sz w:val="24"/>
          <w:highlight w:val="none"/>
          <w:lang w:val="en-US" w:eastAsia="zh-CN"/>
        </w:rPr>
        <w:t>或</w:t>
      </w:r>
      <w:r>
        <w:rPr>
          <w:rFonts w:hint="eastAsia" w:ascii="宋体" w:hAnsi="宋体" w:eastAsia="宋体"/>
          <w:b w:val="0"/>
          <w:bCs/>
          <w:sz w:val="24"/>
          <w:highlight w:val="none"/>
        </w:rPr>
        <w:t>其他单位的工作关系</w:t>
      </w:r>
      <w:r>
        <w:rPr>
          <w:rFonts w:hint="eastAsia" w:ascii="宋体" w:hAnsi="宋体" w:eastAsia="宋体"/>
          <w:b w:val="0"/>
          <w:bCs/>
          <w:sz w:val="24"/>
          <w:highlight w:val="none"/>
          <w:lang w:eastAsia="zh-CN"/>
        </w:rPr>
        <w:t>、</w:t>
      </w:r>
      <w:r>
        <w:rPr>
          <w:rFonts w:hint="eastAsia" w:ascii="宋体" w:hAnsi="宋体" w:eastAsia="宋体"/>
          <w:b w:val="0"/>
          <w:bCs/>
          <w:sz w:val="24"/>
          <w:highlight w:val="none"/>
        </w:rPr>
        <w:t>问题解决和系统接口</w:t>
      </w:r>
      <w:r>
        <w:rPr>
          <w:rFonts w:hint="eastAsia" w:ascii="宋体" w:hAnsi="宋体" w:eastAsia="宋体"/>
          <w:b w:val="0"/>
          <w:bCs/>
          <w:sz w:val="24"/>
          <w:highlight w:val="none"/>
          <w:lang w:eastAsia="zh-CN"/>
        </w:rPr>
        <w:t>的</w:t>
      </w:r>
      <w:r>
        <w:rPr>
          <w:rFonts w:hint="eastAsia" w:ascii="宋体" w:hAnsi="宋体" w:eastAsia="宋体"/>
          <w:b w:val="0"/>
          <w:bCs/>
          <w:sz w:val="24"/>
          <w:highlight w:val="none"/>
        </w:rPr>
        <w:t>协调工作。</w:t>
      </w:r>
    </w:p>
    <w:p w14:paraId="68E3DF46">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rPr>
      </w:pPr>
      <w:r>
        <w:rPr>
          <w:rFonts w:hint="eastAsia" w:ascii="宋体" w:hAnsi="宋体" w:eastAsia="宋体"/>
          <w:b w:val="0"/>
          <w:bCs/>
          <w:sz w:val="24"/>
          <w:highlight w:val="none"/>
        </w:rPr>
        <w:t>（四）为了保证系统的稳定运行和审核的响应效率，甲方需提供相应的软硬件环境。</w:t>
      </w:r>
    </w:p>
    <w:p w14:paraId="12C49C07">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rPr>
      </w:pPr>
      <w:r>
        <w:rPr>
          <w:rFonts w:hint="eastAsia" w:ascii="宋体" w:hAnsi="宋体" w:eastAsia="宋体"/>
          <w:b w:val="0"/>
          <w:bCs/>
          <w:sz w:val="24"/>
          <w:highlight w:val="none"/>
        </w:rPr>
        <w:t>（五）甲方负责协调各方进行系统安装、测试、开通及验收的环境及场所，同时提供必要的文档资料和数据，协助乙方做好系统的实施工作。</w:t>
      </w:r>
    </w:p>
    <w:p w14:paraId="23BB3D74">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rPr>
      </w:pPr>
      <w:r>
        <w:rPr>
          <w:rFonts w:hint="eastAsia" w:ascii="宋体" w:hAnsi="宋体" w:eastAsia="宋体"/>
          <w:b w:val="0"/>
          <w:bCs/>
          <w:sz w:val="24"/>
          <w:highlight w:val="none"/>
        </w:rPr>
        <w:t>（六）甲方定期做好系统数据备份，并妥善保管。</w:t>
      </w:r>
    </w:p>
    <w:p w14:paraId="5B538226">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rPr>
      </w:pPr>
      <w:r>
        <w:rPr>
          <w:rFonts w:hint="eastAsia" w:ascii="宋体" w:hAnsi="宋体" w:eastAsia="宋体"/>
          <w:b w:val="0"/>
          <w:bCs/>
          <w:sz w:val="24"/>
          <w:highlight w:val="none"/>
        </w:rPr>
        <w:t>（七）甲方在应用过程中发现系统出现异常，应及时与乙方取得联系，并记录当前故障现象，便于乙方做出诊断；甲方在乙方服务人员服务完成后，配合检查系统运行是否正常，并在现场服务请求单上签字确认。</w:t>
      </w:r>
    </w:p>
    <w:p w14:paraId="7ADF943D">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rPr>
      </w:pPr>
      <w:r>
        <w:rPr>
          <w:rFonts w:hint="eastAsia" w:ascii="宋体" w:hAnsi="宋体" w:eastAsia="宋体"/>
          <w:b w:val="0"/>
          <w:bCs/>
          <w:sz w:val="24"/>
          <w:highlight w:val="none"/>
        </w:rPr>
        <w:t>（八）甲方在履行本合同过程中，不得将本合同涉及到的系统提供给第三方使用，因此引起的乙方损失均由甲方承担。</w:t>
      </w:r>
    </w:p>
    <w:p w14:paraId="1E2549E0">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rPr>
      </w:pPr>
      <w:r>
        <w:rPr>
          <w:rFonts w:hint="eastAsia" w:ascii="宋体" w:hAnsi="宋体" w:eastAsia="宋体"/>
          <w:b w:val="0"/>
          <w:bCs/>
          <w:sz w:val="24"/>
          <w:highlight w:val="none"/>
        </w:rPr>
        <w:t>（九）按本合同约定的合同金额及支付方式向乙方支付有关费用。</w:t>
      </w:r>
    </w:p>
    <w:p w14:paraId="3EA2DDA6">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rPr>
      </w:pPr>
      <w:r>
        <w:rPr>
          <w:rFonts w:hint="eastAsia" w:ascii="宋体" w:hAnsi="宋体" w:eastAsia="宋体"/>
          <w:b w:val="0"/>
          <w:bCs/>
          <w:sz w:val="24"/>
          <w:highlight w:val="none"/>
        </w:rPr>
        <w:t>（十）项目</w:t>
      </w:r>
      <w:r>
        <w:rPr>
          <w:rFonts w:hint="eastAsia" w:ascii="宋体" w:hAnsi="宋体" w:eastAsia="宋体"/>
          <w:b w:val="0"/>
          <w:bCs/>
          <w:sz w:val="24"/>
          <w:highlight w:val="none"/>
          <w:lang w:val="en-US" w:eastAsia="zh-CN"/>
        </w:rPr>
        <w:t>实施</w:t>
      </w:r>
      <w:r>
        <w:rPr>
          <w:rFonts w:hint="eastAsia" w:ascii="宋体" w:hAnsi="宋体" w:eastAsia="宋体"/>
          <w:b w:val="0"/>
          <w:bCs/>
          <w:sz w:val="24"/>
          <w:highlight w:val="none"/>
        </w:rPr>
        <w:t>期间，甲方负责向乙方提出参考意见或修改意见。</w:t>
      </w:r>
    </w:p>
    <w:p w14:paraId="46448A85">
      <w:pPr>
        <w:tabs>
          <w:tab w:val="left" w:pos="1350"/>
        </w:tabs>
        <w:adjustRightInd w:val="0"/>
        <w:spacing w:line="480" w:lineRule="exact"/>
        <w:ind w:firstLine="482" w:firstLineChars="200"/>
        <w:jc w:val="left"/>
        <w:textAlignment w:val="top"/>
        <w:rPr>
          <w:rFonts w:hint="eastAsia" w:ascii="宋体" w:hAnsi="宋体" w:eastAsia="宋体"/>
          <w:b/>
          <w:bCs w:val="0"/>
          <w:sz w:val="24"/>
          <w:szCs w:val="24"/>
          <w:highlight w:val="none"/>
        </w:rPr>
      </w:pPr>
      <w:r>
        <w:rPr>
          <w:rFonts w:hint="eastAsia" w:ascii="宋体" w:hAnsi="宋体" w:eastAsia="宋体"/>
          <w:b/>
          <w:bCs w:val="0"/>
          <w:sz w:val="24"/>
          <w:szCs w:val="24"/>
          <w:highlight w:val="none"/>
        </w:rPr>
        <w:t>第六条</w:t>
      </w:r>
      <w:r>
        <w:rPr>
          <w:rFonts w:hint="eastAsia" w:ascii="宋体" w:hAnsi="宋体" w:eastAsia="宋体"/>
          <w:b/>
          <w:bCs w:val="0"/>
          <w:sz w:val="24"/>
          <w:szCs w:val="24"/>
          <w:highlight w:val="none"/>
          <w:lang w:val="en-US" w:eastAsia="zh-CN"/>
        </w:rPr>
        <w:t xml:space="preserve">  </w:t>
      </w:r>
      <w:r>
        <w:rPr>
          <w:rFonts w:hint="eastAsia" w:ascii="宋体" w:hAnsi="宋体" w:eastAsia="宋体"/>
          <w:b/>
          <w:bCs w:val="0"/>
          <w:sz w:val="24"/>
          <w:szCs w:val="24"/>
          <w:highlight w:val="none"/>
        </w:rPr>
        <w:t>乙方责任</w:t>
      </w:r>
    </w:p>
    <w:p w14:paraId="1DA2266A">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rPr>
      </w:pPr>
      <w:r>
        <w:rPr>
          <w:rFonts w:hint="eastAsia" w:ascii="宋体" w:hAnsi="宋体" w:eastAsia="宋体"/>
          <w:b w:val="0"/>
          <w:bCs/>
          <w:sz w:val="24"/>
          <w:highlight w:val="none"/>
        </w:rPr>
        <w:t>（一）乙方负责成立项目工作小组，按照项目的要求及其他资料承担甲方项目的实施交付；</w:t>
      </w:r>
    </w:p>
    <w:p w14:paraId="0CC62800">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rPr>
      </w:pPr>
      <w:r>
        <w:rPr>
          <w:rFonts w:hint="eastAsia" w:ascii="宋体" w:hAnsi="宋体" w:eastAsia="宋体"/>
          <w:b w:val="0"/>
          <w:bCs/>
          <w:sz w:val="24"/>
          <w:highlight w:val="none"/>
        </w:rPr>
        <w:t>（二）乙方须按合同所规定期限完成甲方项目的实施交付并按照采购的技术需求完成系统的调试、对接及正式上线；</w:t>
      </w:r>
    </w:p>
    <w:p w14:paraId="6564078D">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rPr>
      </w:pPr>
      <w:r>
        <w:rPr>
          <w:rFonts w:hint="eastAsia" w:ascii="宋体" w:hAnsi="宋体" w:eastAsia="宋体"/>
          <w:b w:val="0"/>
          <w:bCs/>
          <w:sz w:val="24"/>
          <w:highlight w:val="none"/>
        </w:rPr>
        <w:t>（三）项目</w:t>
      </w:r>
      <w:r>
        <w:rPr>
          <w:rFonts w:hint="eastAsia" w:ascii="宋体" w:hAnsi="宋体" w:eastAsia="宋体"/>
          <w:b w:val="0"/>
          <w:bCs/>
          <w:sz w:val="24"/>
          <w:highlight w:val="none"/>
          <w:lang w:val="en-US" w:eastAsia="zh-CN"/>
        </w:rPr>
        <w:t>实施</w:t>
      </w:r>
      <w:r>
        <w:rPr>
          <w:rFonts w:hint="eastAsia" w:ascii="宋体" w:hAnsi="宋体" w:eastAsia="宋体"/>
          <w:b w:val="0"/>
          <w:bCs/>
          <w:sz w:val="24"/>
          <w:highlight w:val="none"/>
        </w:rPr>
        <w:t>期间，乙方负责听取并研究甲方相关意见；</w:t>
      </w:r>
    </w:p>
    <w:p w14:paraId="7E4C1412">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rPr>
      </w:pPr>
      <w:r>
        <w:rPr>
          <w:rFonts w:hint="eastAsia" w:ascii="宋体" w:hAnsi="宋体" w:eastAsia="宋体"/>
          <w:b w:val="0"/>
          <w:bCs/>
          <w:sz w:val="24"/>
          <w:highlight w:val="none"/>
        </w:rPr>
        <w:t>（四）项目</w:t>
      </w:r>
      <w:r>
        <w:rPr>
          <w:rFonts w:hint="eastAsia" w:ascii="宋体" w:hAnsi="宋体" w:eastAsia="宋体"/>
          <w:b w:val="0"/>
          <w:bCs/>
          <w:sz w:val="24"/>
          <w:highlight w:val="none"/>
          <w:lang w:val="en-US" w:eastAsia="zh-CN"/>
        </w:rPr>
        <w:t>实施</w:t>
      </w:r>
      <w:r>
        <w:rPr>
          <w:rFonts w:hint="eastAsia" w:ascii="宋体" w:hAnsi="宋体" w:eastAsia="宋体"/>
          <w:b w:val="0"/>
          <w:bCs/>
          <w:sz w:val="24"/>
          <w:highlight w:val="none"/>
        </w:rPr>
        <w:t>期间，若甲方提出异议，经甲乙双方友好协商后，乙方可进行修改，协商不成，以甲方要求为准，若甲方提出的要求违反相关法律规定或影响系统运行的，乙方应及时告知甲方。</w:t>
      </w:r>
    </w:p>
    <w:p w14:paraId="2A898A12">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rPr>
      </w:pPr>
      <w:r>
        <w:rPr>
          <w:rFonts w:hint="eastAsia" w:ascii="宋体" w:hAnsi="宋体" w:eastAsia="宋体"/>
          <w:b w:val="0"/>
          <w:bCs/>
          <w:sz w:val="24"/>
          <w:highlight w:val="none"/>
        </w:rPr>
        <w:t>（五）乙方保证系统功能与</w:t>
      </w:r>
      <w:r>
        <w:rPr>
          <w:rFonts w:hint="eastAsia" w:ascii="宋体" w:hAnsi="宋体" w:eastAsia="宋体"/>
          <w:b w:val="0"/>
          <w:bCs/>
          <w:sz w:val="24"/>
          <w:highlight w:val="none"/>
          <w:lang w:val="en-US" w:eastAsia="zh-CN"/>
        </w:rPr>
        <w:t>遴选</w:t>
      </w:r>
      <w:r>
        <w:rPr>
          <w:rFonts w:hint="eastAsia" w:ascii="宋体" w:hAnsi="宋体" w:eastAsia="宋体"/>
          <w:b w:val="0"/>
          <w:bCs/>
          <w:sz w:val="24"/>
          <w:highlight w:val="none"/>
        </w:rPr>
        <w:t>文件的用户需求、乙方的</w:t>
      </w:r>
      <w:r>
        <w:rPr>
          <w:rFonts w:hint="eastAsia" w:ascii="宋体" w:hAnsi="宋体" w:eastAsia="宋体"/>
          <w:b w:val="0"/>
          <w:bCs/>
          <w:sz w:val="24"/>
          <w:highlight w:val="none"/>
          <w:lang w:val="en-US" w:eastAsia="zh-CN"/>
        </w:rPr>
        <w:t>响应</w:t>
      </w:r>
      <w:r>
        <w:rPr>
          <w:rFonts w:hint="eastAsia" w:ascii="宋体" w:hAnsi="宋体" w:eastAsia="宋体"/>
          <w:b w:val="0"/>
          <w:bCs/>
          <w:sz w:val="24"/>
          <w:highlight w:val="none"/>
        </w:rPr>
        <w:t>文件等一致。</w:t>
      </w:r>
    </w:p>
    <w:p w14:paraId="04F514D4">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rPr>
      </w:pPr>
      <w:r>
        <w:rPr>
          <w:rFonts w:hint="eastAsia" w:ascii="宋体" w:hAnsi="宋体" w:eastAsia="宋体"/>
          <w:b w:val="0"/>
          <w:bCs/>
          <w:sz w:val="24"/>
          <w:highlight w:val="none"/>
        </w:rPr>
        <w:t>（六）乙方保证其所提供的系统及服务等未侵犯任何第三方的知识产权或合法权益，并应保护甲方在使用该系统时不受第三方提出侵权指控。若违反该承诺，由此引起的知识产权问题、侵权责任等以及因此而发生的所有费用由乙方负责。</w:t>
      </w:r>
    </w:p>
    <w:p w14:paraId="16ADBAF2">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rPr>
      </w:pPr>
      <w:r>
        <w:rPr>
          <w:rFonts w:hint="eastAsia" w:ascii="宋体" w:hAnsi="宋体" w:eastAsia="宋体"/>
          <w:b w:val="0"/>
          <w:bCs/>
          <w:sz w:val="24"/>
          <w:highlight w:val="none"/>
        </w:rPr>
        <w:t>（七）乙方必须具备相应的维护保养、升级服务能力，能按照</w:t>
      </w:r>
      <w:r>
        <w:rPr>
          <w:rFonts w:hint="eastAsia" w:ascii="宋体" w:hAnsi="宋体" w:eastAsia="宋体"/>
          <w:b w:val="0"/>
          <w:bCs/>
          <w:sz w:val="24"/>
          <w:highlight w:val="none"/>
          <w:lang w:val="en-US" w:eastAsia="zh-CN"/>
        </w:rPr>
        <w:t>遴选</w:t>
      </w:r>
      <w:r>
        <w:rPr>
          <w:rFonts w:hint="eastAsia" w:ascii="宋体" w:hAnsi="宋体" w:eastAsia="宋体"/>
          <w:b w:val="0"/>
          <w:bCs/>
          <w:sz w:val="24"/>
          <w:highlight w:val="none"/>
        </w:rPr>
        <w:t>文件的用户需求、乙方的响应文件以及合同约定提供完善的售后服务（包括技术人员、响应时间及备品、备件方面等）。</w:t>
      </w:r>
    </w:p>
    <w:p w14:paraId="0C8198D8">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rPr>
      </w:pPr>
      <w:r>
        <w:rPr>
          <w:rFonts w:hint="eastAsia" w:ascii="宋体" w:hAnsi="宋体" w:eastAsia="宋体"/>
          <w:b w:val="0"/>
          <w:bCs/>
          <w:sz w:val="24"/>
          <w:highlight w:val="none"/>
        </w:rPr>
        <w:t>（八）负责甲方系统维护人员及操作人员的培训。</w:t>
      </w:r>
    </w:p>
    <w:p w14:paraId="3B28B089">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rPr>
      </w:pPr>
      <w:r>
        <w:rPr>
          <w:rFonts w:hint="eastAsia" w:ascii="宋体" w:hAnsi="宋体" w:eastAsia="宋体"/>
          <w:b w:val="0"/>
          <w:bCs/>
          <w:sz w:val="24"/>
          <w:highlight w:val="none"/>
        </w:rPr>
        <w:t>（九）负责在交货验收合格后将操作说明书等全部技术资料移交给甲方。</w:t>
      </w:r>
    </w:p>
    <w:p w14:paraId="1CDF36AB">
      <w:pPr>
        <w:tabs>
          <w:tab w:val="left" w:pos="1350"/>
        </w:tabs>
        <w:adjustRightInd w:val="0"/>
        <w:spacing w:line="480" w:lineRule="exact"/>
        <w:ind w:firstLine="482" w:firstLineChars="200"/>
        <w:jc w:val="left"/>
        <w:textAlignment w:val="top"/>
        <w:rPr>
          <w:rFonts w:hint="eastAsia" w:ascii="宋体" w:hAnsi="宋体" w:eastAsia="宋体"/>
          <w:b/>
          <w:bCs w:val="0"/>
          <w:sz w:val="24"/>
          <w:szCs w:val="24"/>
          <w:highlight w:val="none"/>
        </w:rPr>
      </w:pPr>
      <w:r>
        <w:rPr>
          <w:rFonts w:hint="eastAsia" w:ascii="宋体" w:hAnsi="宋体" w:eastAsia="宋体"/>
          <w:b/>
          <w:bCs w:val="0"/>
          <w:sz w:val="24"/>
          <w:szCs w:val="24"/>
          <w:highlight w:val="none"/>
        </w:rPr>
        <w:t>第七条</w:t>
      </w:r>
      <w:r>
        <w:rPr>
          <w:rFonts w:hint="eastAsia" w:ascii="宋体" w:hAnsi="宋体" w:eastAsia="宋体"/>
          <w:b/>
          <w:bCs w:val="0"/>
          <w:sz w:val="24"/>
          <w:szCs w:val="24"/>
          <w:highlight w:val="none"/>
          <w:lang w:val="en-US" w:eastAsia="zh-CN"/>
        </w:rPr>
        <w:t xml:space="preserve">  </w:t>
      </w:r>
      <w:r>
        <w:rPr>
          <w:rFonts w:hint="eastAsia" w:ascii="宋体" w:hAnsi="宋体" w:eastAsia="宋体"/>
          <w:b/>
          <w:bCs w:val="0"/>
          <w:sz w:val="24"/>
          <w:szCs w:val="24"/>
          <w:highlight w:val="none"/>
        </w:rPr>
        <w:t>版权、源代码及商业秘密</w:t>
      </w:r>
    </w:p>
    <w:p w14:paraId="409A1BA4">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rPr>
      </w:pPr>
      <w:r>
        <w:rPr>
          <w:rFonts w:hint="eastAsia" w:ascii="宋体" w:hAnsi="宋体" w:eastAsia="宋体"/>
          <w:b w:val="0"/>
          <w:bCs/>
          <w:sz w:val="24"/>
          <w:highlight w:val="none"/>
        </w:rPr>
        <w:t>（一）乙方应保证本项目的</w:t>
      </w:r>
      <w:r>
        <w:rPr>
          <w:rFonts w:hint="eastAsia" w:ascii="宋体" w:hAnsi="宋体" w:eastAsia="宋体"/>
          <w:b w:val="0"/>
          <w:bCs/>
          <w:sz w:val="24"/>
          <w:highlight w:val="none"/>
          <w:lang w:val="en-US" w:eastAsia="zh-CN"/>
        </w:rPr>
        <w:t>响应</w:t>
      </w:r>
      <w:r>
        <w:rPr>
          <w:rFonts w:hint="eastAsia" w:ascii="宋体" w:hAnsi="宋体" w:eastAsia="宋体"/>
          <w:b w:val="0"/>
          <w:bCs/>
          <w:sz w:val="24"/>
          <w:highlight w:val="none"/>
        </w:rPr>
        <w:t>技术、服务或其任何一部分不会产生因第三方提出侵犯其专利权、商标权或其他知识产权而引起的法律和经济纠纷；如因第三方提出其专利权、商标权或其他知识产权的侵权之诉，则一切法律责任由乙方承担。</w:t>
      </w:r>
    </w:p>
    <w:p w14:paraId="58E7791D">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rPr>
      </w:pPr>
      <w:r>
        <w:rPr>
          <w:rFonts w:hint="eastAsia" w:ascii="宋体" w:hAnsi="宋体" w:eastAsia="宋体"/>
          <w:b w:val="0"/>
          <w:bCs/>
          <w:sz w:val="24"/>
          <w:highlight w:val="none"/>
        </w:rPr>
        <w:t>（二）乙方为甲方所</w:t>
      </w:r>
      <w:r>
        <w:rPr>
          <w:rFonts w:hint="eastAsia" w:ascii="宋体" w:hAnsi="宋体" w:eastAsia="宋体"/>
          <w:b w:val="0"/>
          <w:bCs/>
          <w:sz w:val="24"/>
          <w:highlight w:val="none"/>
          <w:lang w:val="en-US" w:eastAsia="zh-CN"/>
        </w:rPr>
        <w:t>实施</w:t>
      </w:r>
      <w:r>
        <w:rPr>
          <w:rFonts w:hint="eastAsia" w:ascii="宋体" w:hAnsi="宋体" w:eastAsia="宋体"/>
          <w:b w:val="0"/>
          <w:bCs/>
          <w:sz w:val="24"/>
          <w:highlight w:val="none"/>
        </w:rPr>
        <w:t>的项目的所有权（指源代码）归乙方所有；但是如果甲方提出正常维护需求（包括免费维保期和有偿维护期）</w:t>
      </w:r>
      <w:r>
        <w:rPr>
          <w:rFonts w:hint="eastAsia" w:ascii="宋体" w:hAnsi="宋体" w:eastAsia="宋体"/>
          <w:b w:val="0"/>
          <w:bCs/>
          <w:sz w:val="24"/>
          <w:highlight w:val="none"/>
          <w:lang w:val="en-US" w:eastAsia="zh-CN"/>
        </w:rPr>
        <w:t>或乙</w:t>
      </w:r>
      <w:r>
        <w:rPr>
          <w:rFonts w:hint="eastAsia" w:ascii="宋体" w:hAnsi="宋体" w:eastAsia="宋体"/>
          <w:b w:val="0"/>
          <w:bCs/>
          <w:sz w:val="24"/>
          <w:highlight w:val="none"/>
        </w:rPr>
        <w:t>方因本方技术人员流失、公司破产或类似原因无法提供维护服务时，乙方有义务将源代码提交给甲方。</w:t>
      </w:r>
    </w:p>
    <w:p w14:paraId="3DB8C8A5">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rPr>
      </w:pPr>
      <w:r>
        <w:rPr>
          <w:rFonts w:hint="eastAsia" w:ascii="宋体" w:hAnsi="宋体" w:eastAsia="宋体"/>
          <w:b w:val="0"/>
          <w:bCs/>
          <w:sz w:val="24"/>
          <w:highlight w:val="none"/>
        </w:rPr>
        <w:t>（三）乙方为甲方严守商业秘密，不得将该项目的数据转用于第三方或向第三方泄露。</w:t>
      </w:r>
    </w:p>
    <w:p w14:paraId="34DA63BF">
      <w:pPr>
        <w:tabs>
          <w:tab w:val="left" w:pos="1350"/>
        </w:tabs>
        <w:adjustRightInd w:val="0"/>
        <w:spacing w:line="480" w:lineRule="exact"/>
        <w:ind w:firstLine="482" w:firstLineChars="200"/>
        <w:jc w:val="left"/>
        <w:textAlignment w:val="top"/>
        <w:rPr>
          <w:rFonts w:hint="eastAsia" w:ascii="宋体" w:hAnsi="宋体" w:eastAsia="宋体"/>
          <w:b/>
          <w:bCs w:val="0"/>
          <w:sz w:val="24"/>
          <w:szCs w:val="24"/>
          <w:highlight w:val="none"/>
        </w:rPr>
      </w:pPr>
      <w:r>
        <w:rPr>
          <w:rFonts w:hint="eastAsia" w:ascii="宋体" w:hAnsi="宋体" w:eastAsia="宋体"/>
          <w:b/>
          <w:bCs w:val="0"/>
          <w:sz w:val="24"/>
          <w:szCs w:val="24"/>
          <w:highlight w:val="none"/>
        </w:rPr>
        <w:t>第八条</w:t>
      </w:r>
      <w:r>
        <w:rPr>
          <w:rFonts w:hint="eastAsia" w:ascii="宋体" w:hAnsi="宋体" w:eastAsia="宋体"/>
          <w:b/>
          <w:bCs w:val="0"/>
          <w:sz w:val="24"/>
          <w:szCs w:val="24"/>
          <w:highlight w:val="none"/>
          <w:lang w:val="en-US" w:eastAsia="zh-CN"/>
        </w:rPr>
        <w:t xml:space="preserve">  </w:t>
      </w:r>
      <w:r>
        <w:rPr>
          <w:rFonts w:hint="eastAsia" w:ascii="宋体" w:hAnsi="宋体" w:eastAsia="宋体"/>
          <w:b/>
          <w:bCs w:val="0"/>
          <w:sz w:val="24"/>
          <w:szCs w:val="24"/>
          <w:highlight w:val="none"/>
        </w:rPr>
        <w:t>验收方式</w:t>
      </w:r>
    </w:p>
    <w:p w14:paraId="6C602843">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rPr>
      </w:pPr>
      <w:r>
        <w:rPr>
          <w:rFonts w:hint="eastAsia" w:ascii="宋体" w:hAnsi="宋体" w:eastAsia="宋体"/>
          <w:b w:val="0"/>
          <w:bCs/>
          <w:sz w:val="24"/>
          <w:highlight w:val="none"/>
        </w:rPr>
        <w:t>（一）系统安装、调试、对接完成并且顺利持续运行一个月后10个工作日内进行验收，乙方向甲方提出验收申请。甲方在收到上述申请后7日内组织验收。验收合格后视为交货。验收按国家有关的规定、合同及有关附件要求进行。本项目验收要求对本项目全部系统软件、应用软件对应全部功能进行验收。</w:t>
      </w:r>
    </w:p>
    <w:p w14:paraId="21E93F64">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rPr>
      </w:pPr>
      <w:r>
        <w:rPr>
          <w:rFonts w:hint="eastAsia" w:ascii="宋体" w:hAnsi="宋体" w:eastAsia="宋体"/>
          <w:b w:val="0"/>
          <w:bCs/>
          <w:sz w:val="24"/>
          <w:highlight w:val="none"/>
        </w:rPr>
        <w:t>（二）验收地点：</w:t>
      </w:r>
      <w:r>
        <w:rPr>
          <w:rFonts w:hint="eastAsia" w:ascii="宋体" w:hAnsi="宋体" w:eastAsia="宋体"/>
          <w:b w:val="0"/>
          <w:bCs/>
          <w:sz w:val="24"/>
          <w:highlight w:val="none"/>
          <w:lang w:val="en-US" w:eastAsia="zh-CN"/>
        </w:rPr>
        <w:t>开平市</w:t>
      </w:r>
      <w:r>
        <w:rPr>
          <w:rFonts w:hint="eastAsia" w:ascii="宋体" w:hAnsi="宋体" w:eastAsia="宋体"/>
          <w:b w:val="0"/>
          <w:bCs/>
          <w:sz w:val="24"/>
          <w:highlight w:val="none"/>
        </w:rPr>
        <w:t>中医院；</w:t>
      </w:r>
    </w:p>
    <w:p w14:paraId="3827FF5D">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rPr>
      </w:pPr>
      <w:r>
        <w:rPr>
          <w:rFonts w:hint="eastAsia" w:ascii="宋体" w:hAnsi="宋体" w:eastAsia="宋体"/>
          <w:b w:val="0"/>
          <w:bCs/>
          <w:sz w:val="24"/>
          <w:highlight w:val="none"/>
        </w:rPr>
        <w:t>（三）验收方式：由甲方相关人员与乙方相关人员共同组成，甲方与乙方共同对整个系统依据合同要求</w:t>
      </w:r>
      <w:r>
        <w:rPr>
          <w:rFonts w:hint="eastAsia" w:ascii="宋体" w:hAnsi="宋体" w:eastAsia="宋体"/>
          <w:b w:val="0"/>
          <w:bCs/>
          <w:sz w:val="24"/>
          <w:highlight w:val="none"/>
          <w:lang w:val="en-US" w:eastAsia="zh-CN"/>
        </w:rPr>
        <w:t>逐项功能逐项指标</w:t>
      </w:r>
      <w:r>
        <w:rPr>
          <w:rFonts w:hint="eastAsia" w:ascii="宋体" w:hAnsi="宋体" w:eastAsia="宋体"/>
          <w:b w:val="0"/>
          <w:bCs/>
          <w:sz w:val="24"/>
          <w:highlight w:val="none"/>
        </w:rPr>
        <w:t>进行检查测试；</w:t>
      </w:r>
      <w:r>
        <w:rPr>
          <w:rFonts w:hint="eastAsia" w:ascii="宋体" w:hAnsi="宋体" w:eastAsia="宋体"/>
          <w:b w:val="0"/>
          <w:bCs/>
          <w:sz w:val="24"/>
          <w:highlight w:val="none"/>
          <w:lang w:val="en-US" w:eastAsia="zh-CN"/>
        </w:rPr>
        <w:t>并</w:t>
      </w:r>
      <w:r>
        <w:rPr>
          <w:rFonts w:hint="eastAsia" w:ascii="宋体" w:hAnsi="宋体" w:eastAsia="宋体"/>
          <w:b w:val="0"/>
          <w:bCs/>
          <w:sz w:val="24"/>
          <w:highlight w:val="none"/>
        </w:rPr>
        <w:t>对</w:t>
      </w:r>
      <w:r>
        <w:rPr>
          <w:rFonts w:hint="eastAsia" w:ascii="宋体" w:hAnsi="宋体" w:eastAsia="宋体"/>
          <w:b w:val="0"/>
          <w:bCs/>
          <w:sz w:val="24"/>
          <w:highlight w:val="none"/>
          <w:lang w:val="en-US" w:eastAsia="zh-CN"/>
        </w:rPr>
        <w:t>体检全流程</w:t>
      </w:r>
      <w:r>
        <w:rPr>
          <w:rFonts w:hint="eastAsia" w:ascii="宋体" w:hAnsi="宋体" w:eastAsia="宋体"/>
          <w:b w:val="0"/>
          <w:bCs/>
          <w:sz w:val="24"/>
          <w:highlight w:val="none"/>
        </w:rPr>
        <w:t>进行诊断，验收结果由甲</w:t>
      </w:r>
      <w:r>
        <w:rPr>
          <w:rFonts w:hint="eastAsia" w:ascii="宋体" w:hAnsi="宋体" w:eastAsia="宋体"/>
          <w:b w:val="0"/>
          <w:bCs/>
          <w:sz w:val="24"/>
          <w:highlight w:val="none"/>
          <w:lang w:val="en-US" w:eastAsia="zh-CN"/>
        </w:rPr>
        <w:t>方使用部门、信息部门、采购部门及</w:t>
      </w:r>
      <w:r>
        <w:rPr>
          <w:rFonts w:hint="eastAsia" w:ascii="宋体" w:hAnsi="宋体" w:eastAsia="宋体"/>
          <w:b w:val="0"/>
          <w:bCs/>
          <w:sz w:val="24"/>
          <w:highlight w:val="none"/>
        </w:rPr>
        <w:t>乙方主管人员签字并盖章认可。</w:t>
      </w:r>
    </w:p>
    <w:p w14:paraId="67F555AA">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rPr>
      </w:pPr>
      <w:r>
        <w:rPr>
          <w:rFonts w:hint="eastAsia" w:ascii="宋体" w:hAnsi="宋体" w:eastAsia="宋体"/>
          <w:b w:val="0"/>
          <w:bCs/>
          <w:sz w:val="24"/>
          <w:highlight w:val="none"/>
        </w:rPr>
        <w:t>（四）验收标准：符合</w:t>
      </w:r>
      <w:r>
        <w:rPr>
          <w:rFonts w:hint="eastAsia" w:ascii="宋体" w:hAnsi="宋体" w:eastAsia="宋体"/>
          <w:b w:val="0"/>
          <w:bCs/>
          <w:sz w:val="24"/>
          <w:highlight w:val="none"/>
          <w:lang w:val="en-US" w:eastAsia="zh-CN"/>
        </w:rPr>
        <w:t>遴选</w:t>
      </w:r>
      <w:r>
        <w:rPr>
          <w:rFonts w:hint="eastAsia" w:ascii="宋体" w:hAnsi="宋体" w:eastAsia="宋体"/>
          <w:b w:val="0"/>
          <w:bCs/>
          <w:sz w:val="24"/>
          <w:highlight w:val="none"/>
        </w:rPr>
        <w:t>文件、乙方的</w:t>
      </w:r>
      <w:r>
        <w:rPr>
          <w:rFonts w:hint="eastAsia" w:ascii="宋体" w:hAnsi="宋体" w:eastAsia="宋体"/>
          <w:b w:val="0"/>
          <w:bCs/>
          <w:sz w:val="24"/>
          <w:highlight w:val="none"/>
          <w:lang w:val="en-US" w:eastAsia="zh-CN"/>
        </w:rPr>
        <w:t>响应</w:t>
      </w:r>
      <w:r>
        <w:rPr>
          <w:rFonts w:hint="eastAsia" w:ascii="宋体" w:hAnsi="宋体" w:eastAsia="宋体"/>
          <w:b w:val="0"/>
          <w:bCs/>
          <w:sz w:val="24"/>
          <w:highlight w:val="none"/>
        </w:rPr>
        <w:t>文件、澄清文件和</w:t>
      </w:r>
      <w:r>
        <w:rPr>
          <w:rFonts w:hint="eastAsia" w:ascii="宋体" w:hAnsi="宋体" w:eastAsia="宋体"/>
          <w:b w:val="0"/>
          <w:bCs/>
          <w:sz w:val="24"/>
          <w:highlight w:val="none"/>
          <w:lang w:val="en-US" w:eastAsia="zh-CN"/>
        </w:rPr>
        <w:t>中选</w:t>
      </w:r>
      <w:r>
        <w:rPr>
          <w:rFonts w:hint="eastAsia" w:ascii="宋体" w:hAnsi="宋体" w:eastAsia="宋体"/>
          <w:b w:val="0"/>
          <w:bCs/>
          <w:sz w:val="24"/>
          <w:highlight w:val="none"/>
        </w:rPr>
        <w:t>通知书的要求；单证齐全，有发票和其它应当具有单证文件。乙方应负责在项目验收时将系统的全部有关产品说明书、原厂家安装手册、技术文件、资料、安装、验收报告等文档汇集成册交付系统使用单位。</w:t>
      </w:r>
    </w:p>
    <w:p w14:paraId="25DA46AE">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rPr>
      </w:pPr>
      <w:r>
        <w:rPr>
          <w:rFonts w:hint="eastAsia" w:ascii="宋体" w:hAnsi="宋体" w:eastAsia="宋体"/>
          <w:b w:val="0"/>
          <w:bCs/>
          <w:sz w:val="24"/>
          <w:highlight w:val="none"/>
        </w:rPr>
        <w:t>（五）验收交付文档包括但不限于：全套、完整的安装手册、配置、管理及维护的全面技术资料，所有与用户、设备等相关联的说明、表格等资料，以及产品合格证明材料和验收报告。</w:t>
      </w:r>
    </w:p>
    <w:p w14:paraId="33921ED5">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rPr>
      </w:pPr>
      <w:r>
        <w:rPr>
          <w:rFonts w:hint="eastAsia" w:ascii="宋体" w:hAnsi="宋体" w:eastAsia="宋体"/>
          <w:b w:val="0"/>
          <w:bCs/>
          <w:sz w:val="24"/>
          <w:highlight w:val="none"/>
        </w:rPr>
        <w:t>（六）验收异议：①在验收过程中，如发现系统相关内容未完善、未能完全对接院内系统或者未能按照</w:t>
      </w:r>
      <w:r>
        <w:rPr>
          <w:rFonts w:hint="eastAsia" w:ascii="宋体" w:hAnsi="宋体" w:eastAsia="宋体"/>
          <w:b w:val="0"/>
          <w:bCs/>
          <w:sz w:val="24"/>
          <w:highlight w:val="none"/>
          <w:lang w:val="en-US" w:eastAsia="zh-CN"/>
        </w:rPr>
        <w:t>遴选文件及响应</w:t>
      </w:r>
      <w:r>
        <w:rPr>
          <w:rFonts w:hint="eastAsia" w:ascii="宋体" w:hAnsi="宋体" w:eastAsia="宋体"/>
          <w:b w:val="0"/>
          <w:bCs/>
          <w:sz w:val="24"/>
          <w:highlight w:val="none"/>
        </w:rPr>
        <w:t>文件中约定的方式进行操作的，乙方须无条件进行整改，整改产生的费用由</w:t>
      </w:r>
      <w:r>
        <w:rPr>
          <w:rFonts w:hint="eastAsia" w:ascii="宋体" w:hAnsi="宋体" w:eastAsia="宋体"/>
          <w:b w:val="0"/>
          <w:bCs/>
          <w:sz w:val="24"/>
          <w:highlight w:val="none"/>
          <w:lang w:val="en-US" w:eastAsia="zh-CN"/>
        </w:rPr>
        <w:t>乙方</w:t>
      </w:r>
      <w:r>
        <w:rPr>
          <w:rFonts w:hint="eastAsia" w:ascii="宋体" w:hAnsi="宋体" w:eastAsia="宋体"/>
          <w:b w:val="0"/>
          <w:bCs/>
          <w:sz w:val="24"/>
          <w:highlight w:val="none"/>
        </w:rPr>
        <w:t>承担。乙方未能完成整改前，甲方有权拒绝签字验收。②乙方提供的功能未达到</w:t>
      </w:r>
      <w:r>
        <w:rPr>
          <w:rFonts w:hint="eastAsia" w:ascii="宋体" w:hAnsi="宋体" w:eastAsia="宋体"/>
          <w:b w:val="0"/>
          <w:bCs/>
          <w:sz w:val="24"/>
          <w:highlight w:val="none"/>
          <w:lang w:val="en-US" w:eastAsia="zh-CN"/>
        </w:rPr>
        <w:t>遴选</w:t>
      </w:r>
      <w:r>
        <w:rPr>
          <w:rFonts w:hint="eastAsia" w:ascii="宋体" w:hAnsi="宋体" w:eastAsia="宋体"/>
          <w:b w:val="0"/>
          <w:bCs/>
          <w:sz w:val="24"/>
          <w:highlight w:val="none"/>
        </w:rPr>
        <w:t>文件规定要求，且对甲方造成损失的，由乙方承担一切责任，并赔偿所造成的损失。</w:t>
      </w:r>
    </w:p>
    <w:p w14:paraId="77E16FDD">
      <w:pPr>
        <w:tabs>
          <w:tab w:val="left" w:pos="1350"/>
        </w:tabs>
        <w:adjustRightInd w:val="0"/>
        <w:spacing w:line="480" w:lineRule="exact"/>
        <w:ind w:firstLine="482" w:firstLineChars="200"/>
        <w:jc w:val="left"/>
        <w:textAlignment w:val="top"/>
        <w:rPr>
          <w:rFonts w:hint="eastAsia" w:ascii="宋体" w:hAnsi="宋体" w:eastAsia="宋体"/>
          <w:b/>
          <w:bCs w:val="0"/>
          <w:sz w:val="24"/>
          <w:szCs w:val="24"/>
          <w:highlight w:val="none"/>
        </w:rPr>
      </w:pPr>
      <w:r>
        <w:rPr>
          <w:rFonts w:hint="eastAsia" w:ascii="宋体" w:hAnsi="宋体" w:eastAsia="宋体"/>
          <w:b/>
          <w:bCs w:val="0"/>
          <w:sz w:val="24"/>
          <w:szCs w:val="24"/>
          <w:highlight w:val="none"/>
        </w:rPr>
        <w:t>第九条</w:t>
      </w:r>
      <w:r>
        <w:rPr>
          <w:rFonts w:hint="eastAsia" w:ascii="宋体" w:hAnsi="宋体" w:eastAsia="宋体"/>
          <w:b/>
          <w:bCs w:val="0"/>
          <w:sz w:val="24"/>
          <w:szCs w:val="24"/>
          <w:highlight w:val="none"/>
          <w:lang w:val="en-US" w:eastAsia="zh-CN"/>
        </w:rPr>
        <w:t xml:space="preserve">  </w:t>
      </w:r>
      <w:r>
        <w:rPr>
          <w:rFonts w:hint="eastAsia" w:ascii="宋体" w:hAnsi="宋体" w:eastAsia="宋体"/>
          <w:b/>
          <w:bCs w:val="0"/>
          <w:sz w:val="24"/>
          <w:szCs w:val="24"/>
          <w:highlight w:val="none"/>
        </w:rPr>
        <w:t>乙方的违约责任</w:t>
      </w:r>
    </w:p>
    <w:p w14:paraId="0656C955">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lang w:eastAsia="zh-CN"/>
        </w:rPr>
      </w:pPr>
      <w:r>
        <w:rPr>
          <w:rFonts w:hint="eastAsia" w:ascii="宋体" w:hAnsi="宋体" w:eastAsia="宋体"/>
          <w:b w:val="0"/>
          <w:bCs/>
          <w:sz w:val="24"/>
          <w:highlight w:val="none"/>
        </w:rPr>
        <w:t>（一）乙方不能交付系统的，甲方有权解除本合同，要求乙方退还全部已经支付的款项，不向乙方支付剩余款项并有权要求乙方向甲方偿付合同总价的百分之十作为违约金，若以上违约金不足以弥补甲方损失的，乙方须赔偿甲方实际损失</w:t>
      </w:r>
      <w:r>
        <w:rPr>
          <w:rFonts w:hint="eastAsia" w:ascii="宋体" w:hAnsi="宋体" w:eastAsia="宋体"/>
          <w:b w:val="0"/>
          <w:bCs/>
          <w:sz w:val="24"/>
          <w:highlight w:val="none"/>
          <w:lang w:eastAsia="zh-CN"/>
        </w:rPr>
        <w:t>。</w:t>
      </w:r>
    </w:p>
    <w:p w14:paraId="4503B123">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rPr>
      </w:pPr>
      <w:r>
        <w:rPr>
          <w:rFonts w:hint="eastAsia" w:ascii="宋体" w:hAnsi="宋体" w:eastAsia="宋体"/>
          <w:b w:val="0"/>
          <w:bCs/>
          <w:sz w:val="24"/>
          <w:highlight w:val="none"/>
        </w:rPr>
        <w:t>（二）乙方对系统相关要求予以响应却未能有效落实到位时，甲方将依具体情形按相应比例扣减合同金额。若未落实状况较为严重，诸如因乙方责任致使项目验收延期，那么甲方有权依法向乙方索偿损失。具体扣减规则为：每出现延期一个月的情形，便扣除合同金额的百分之</w:t>
      </w:r>
      <w:r>
        <w:rPr>
          <w:rFonts w:hint="eastAsia" w:ascii="宋体" w:hAnsi="宋体" w:eastAsia="宋体"/>
          <w:b w:val="0"/>
          <w:bCs/>
          <w:sz w:val="24"/>
          <w:highlight w:val="none"/>
          <w:lang w:val="en-US" w:eastAsia="zh-CN"/>
        </w:rPr>
        <w:t>三</w:t>
      </w:r>
      <w:r>
        <w:rPr>
          <w:rFonts w:hint="eastAsia" w:ascii="宋体" w:hAnsi="宋体" w:eastAsia="宋体"/>
          <w:b w:val="0"/>
          <w:bCs/>
          <w:sz w:val="24"/>
          <w:highlight w:val="none"/>
        </w:rPr>
        <w:t>；若延期时长不足一个月，亦按照一个月的标准予以扣除计算。</w:t>
      </w:r>
    </w:p>
    <w:p w14:paraId="54718C13">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rPr>
      </w:pPr>
      <w:r>
        <w:rPr>
          <w:rFonts w:hint="eastAsia" w:ascii="宋体" w:hAnsi="宋体" w:eastAsia="宋体"/>
          <w:b w:val="0"/>
          <w:bCs/>
          <w:sz w:val="24"/>
          <w:highlight w:val="none"/>
        </w:rPr>
        <w:t>（三）乙方所交系统不符合合同规定或</w:t>
      </w:r>
      <w:r>
        <w:rPr>
          <w:rFonts w:hint="eastAsia" w:ascii="宋体" w:hAnsi="宋体" w:eastAsia="宋体"/>
          <w:b w:val="0"/>
          <w:bCs/>
          <w:sz w:val="24"/>
          <w:highlight w:val="none"/>
          <w:lang w:val="en-US" w:eastAsia="zh-CN"/>
        </w:rPr>
        <w:t>遴选</w:t>
      </w:r>
      <w:r>
        <w:rPr>
          <w:rFonts w:hint="eastAsia" w:ascii="宋体" w:hAnsi="宋体" w:eastAsia="宋体"/>
          <w:b w:val="0"/>
          <w:bCs/>
          <w:sz w:val="24"/>
          <w:highlight w:val="none"/>
        </w:rPr>
        <w:t>文件要求的，由乙方负责整改，并承担修改、维护或退货而支付的实际费用，且乙方须向甲方偿付合同总价的百分之五作为违约金，上述违约金不足以弥补甲方损失的，乙方须赔偿甲方实际损失；乙方拒绝整改或整改后仍不符合合同规定的，甲方有权单方面解除本合同，乙方须向甲方偿付合同总价的百分之</w:t>
      </w:r>
      <w:r>
        <w:rPr>
          <w:rFonts w:hint="eastAsia" w:ascii="宋体" w:hAnsi="宋体" w:eastAsia="宋体"/>
          <w:b w:val="0"/>
          <w:bCs/>
          <w:sz w:val="24"/>
          <w:highlight w:val="none"/>
          <w:lang w:val="en-US" w:eastAsia="zh-CN"/>
        </w:rPr>
        <w:t>五</w:t>
      </w:r>
      <w:r>
        <w:rPr>
          <w:rFonts w:hint="eastAsia" w:ascii="宋体" w:hAnsi="宋体" w:eastAsia="宋体"/>
          <w:b w:val="0"/>
          <w:bCs/>
          <w:sz w:val="24"/>
          <w:highlight w:val="none"/>
        </w:rPr>
        <w:t>作为违约金，若以上违约金不足以弥补甲方损失的，乙方须赔偿甲方实际损失；</w:t>
      </w:r>
    </w:p>
    <w:p w14:paraId="1652D0FC">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rPr>
      </w:pPr>
      <w:r>
        <w:rPr>
          <w:rFonts w:hint="eastAsia" w:ascii="宋体" w:hAnsi="宋体" w:eastAsia="宋体"/>
          <w:b w:val="0"/>
          <w:bCs/>
          <w:sz w:val="24"/>
          <w:highlight w:val="none"/>
        </w:rPr>
        <w:t>（四）乙方未按时完成系统安装调试上线并通过验收的，每逾期一日应向甲方偿付合同总额的千分之三作为违约金。如乙方逾期的天数达到 30 天及以上的，甲方有权解除本合同，要求乙方退还全部已经支付的款项，并有权要求乙方承担合同总金额百分之三作为违约金，若以上违约金不足以弥补甲方损失的，乙方须赔偿甲方实际损失。</w:t>
      </w:r>
    </w:p>
    <w:p w14:paraId="31E382BE">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rPr>
      </w:pPr>
      <w:r>
        <w:rPr>
          <w:rFonts w:hint="eastAsia" w:ascii="宋体" w:hAnsi="宋体" w:eastAsia="宋体"/>
          <w:b w:val="0"/>
          <w:bCs/>
          <w:sz w:val="24"/>
          <w:highlight w:val="none"/>
        </w:rPr>
        <w:t>（四）乙方未能按照合同约定提供维保、升级服务的，每次须按照合同总价的百分之三向甲方支付违约金，若以上违约金不足以弥补甲方损失的，乙方须赔偿甲方实际损失。出现上述情况达到3 次及以上的，甲方有权解除本合同，要求乙方承担合同总金额百分之三作为违约金，若以上违约金不足以弥补甲方损失的，乙方须赔偿甲方实际损失。</w:t>
      </w:r>
    </w:p>
    <w:p w14:paraId="2D6CB4BA">
      <w:pPr>
        <w:tabs>
          <w:tab w:val="left" w:pos="1350"/>
        </w:tabs>
        <w:adjustRightInd w:val="0"/>
        <w:spacing w:line="480" w:lineRule="exact"/>
        <w:ind w:firstLine="482" w:firstLineChars="200"/>
        <w:jc w:val="left"/>
        <w:textAlignment w:val="top"/>
        <w:rPr>
          <w:rFonts w:hint="eastAsia" w:ascii="宋体" w:hAnsi="宋体" w:eastAsia="宋体"/>
          <w:b/>
          <w:bCs w:val="0"/>
          <w:sz w:val="24"/>
          <w:szCs w:val="24"/>
          <w:highlight w:val="none"/>
        </w:rPr>
      </w:pPr>
      <w:r>
        <w:rPr>
          <w:rFonts w:hint="eastAsia" w:ascii="宋体" w:hAnsi="宋体" w:eastAsia="宋体"/>
          <w:b/>
          <w:bCs w:val="0"/>
          <w:sz w:val="24"/>
          <w:szCs w:val="24"/>
          <w:highlight w:val="none"/>
        </w:rPr>
        <w:t>第十条</w:t>
      </w:r>
      <w:r>
        <w:rPr>
          <w:rFonts w:hint="eastAsia" w:ascii="宋体" w:hAnsi="宋体" w:eastAsia="宋体"/>
          <w:b/>
          <w:bCs w:val="0"/>
          <w:sz w:val="24"/>
          <w:szCs w:val="24"/>
          <w:highlight w:val="none"/>
          <w:lang w:val="en-US" w:eastAsia="zh-CN"/>
        </w:rPr>
        <w:t xml:space="preserve">  </w:t>
      </w:r>
      <w:r>
        <w:rPr>
          <w:rFonts w:hint="eastAsia" w:ascii="宋体" w:hAnsi="宋体" w:eastAsia="宋体"/>
          <w:b/>
          <w:bCs w:val="0"/>
          <w:sz w:val="24"/>
          <w:szCs w:val="24"/>
          <w:highlight w:val="none"/>
        </w:rPr>
        <w:t>甲方的违约责任</w:t>
      </w:r>
    </w:p>
    <w:p w14:paraId="7D67873B">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lang w:eastAsia="zh-CN"/>
        </w:rPr>
      </w:pPr>
      <w:r>
        <w:rPr>
          <w:rFonts w:hint="eastAsia" w:ascii="宋体" w:hAnsi="宋体" w:eastAsia="宋体"/>
          <w:b w:val="0"/>
          <w:bCs/>
          <w:sz w:val="24"/>
          <w:highlight w:val="none"/>
        </w:rPr>
        <w:t>（一）甲方无正当理由逾期付款的，应每日按逾期金额的万分之五向乙方支付违约金</w:t>
      </w:r>
      <w:r>
        <w:rPr>
          <w:rFonts w:hint="eastAsia" w:ascii="宋体" w:hAnsi="宋体" w:eastAsia="宋体"/>
          <w:b w:val="0"/>
          <w:bCs/>
          <w:sz w:val="24"/>
          <w:highlight w:val="none"/>
          <w:lang w:eastAsia="zh-CN"/>
        </w:rPr>
        <w:t>。</w:t>
      </w:r>
    </w:p>
    <w:p w14:paraId="29C84C31">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lang w:eastAsia="zh-CN"/>
        </w:rPr>
      </w:pPr>
      <w:r>
        <w:rPr>
          <w:rFonts w:hint="eastAsia" w:ascii="宋体" w:hAnsi="宋体" w:eastAsia="宋体"/>
          <w:b w:val="0"/>
          <w:bCs/>
          <w:sz w:val="24"/>
          <w:highlight w:val="none"/>
        </w:rPr>
        <w:t>（二）甲方违反合同规定无正当理由拒绝接受系统安装的，应当承担由此而对乙方造成的损失</w:t>
      </w:r>
      <w:r>
        <w:rPr>
          <w:rFonts w:hint="eastAsia" w:ascii="宋体" w:hAnsi="宋体" w:eastAsia="宋体"/>
          <w:b w:val="0"/>
          <w:bCs/>
          <w:sz w:val="24"/>
          <w:highlight w:val="none"/>
          <w:lang w:eastAsia="zh-CN"/>
        </w:rPr>
        <w:t>。</w:t>
      </w:r>
    </w:p>
    <w:p w14:paraId="291F50DD">
      <w:pPr>
        <w:tabs>
          <w:tab w:val="left" w:pos="1350"/>
        </w:tabs>
        <w:adjustRightInd w:val="0"/>
        <w:spacing w:line="480" w:lineRule="exact"/>
        <w:ind w:firstLine="482" w:firstLineChars="200"/>
        <w:jc w:val="left"/>
        <w:textAlignment w:val="top"/>
        <w:rPr>
          <w:rFonts w:hint="eastAsia" w:ascii="宋体" w:hAnsi="宋体" w:eastAsia="宋体"/>
          <w:b/>
          <w:sz w:val="24"/>
          <w:highlight w:val="none"/>
        </w:rPr>
      </w:pPr>
      <w:r>
        <w:rPr>
          <w:rFonts w:hint="eastAsia" w:ascii="宋体" w:hAnsi="宋体" w:eastAsia="宋体"/>
          <w:b/>
          <w:sz w:val="24"/>
          <w:highlight w:val="none"/>
        </w:rPr>
        <w:t>第十一条</w:t>
      </w:r>
      <w:r>
        <w:rPr>
          <w:rFonts w:hint="eastAsia" w:ascii="宋体" w:hAnsi="宋体" w:eastAsia="宋体"/>
          <w:b/>
          <w:sz w:val="24"/>
          <w:highlight w:val="none"/>
          <w:lang w:val="en-US" w:eastAsia="zh-CN"/>
        </w:rPr>
        <w:t xml:space="preserve">  </w:t>
      </w:r>
      <w:r>
        <w:rPr>
          <w:rFonts w:hint="eastAsia" w:ascii="宋体" w:hAnsi="宋体" w:eastAsia="宋体"/>
          <w:b/>
          <w:sz w:val="24"/>
          <w:highlight w:val="none"/>
        </w:rPr>
        <w:t>不可抗力</w:t>
      </w:r>
    </w:p>
    <w:p w14:paraId="2B409294">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rPr>
      </w:pPr>
      <w:r>
        <w:rPr>
          <w:rFonts w:hint="eastAsia" w:ascii="宋体" w:hAnsi="宋体" w:eastAsia="宋体"/>
          <w:b w:val="0"/>
          <w:bCs/>
          <w:sz w:val="24"/>
          <w:highlight w:val="none"/>
        </w:rPr>
        <w:t>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14:paraId="7F7C0445">
      <w:pPr>
        <w:tabs>
          <w:tab w:val="left" w:pos="1350"/>
        </w:tabs>
        <w:adjustRightInd w:val="0"/>
        <w:spacing w:line="480" w:lineRule="exact"/>
        <w:ind w:firstLine="482" w:firstLineChars="200"/>
        <w:jc w:val="left"/>
        <w:textAlignment w:val="top"/>
        <w:rPr>
          <w:rFonts w:hint="eastAsia" w:ascii="宋体" w:hAnsi="宋体" w:eastAsia="宋体"/>
          <w:b/>
          <w:sz w:val="24"/>
          <w:highlight w:val="none"/>
        </w:rPr>
      </w:pPr>
      <w:r>
        <w:rPr>
          <w:rFonts w:hint="eastAsia" w:ascii="宋体" w:hAnsi="宋体" w:eastAsia="宋体"/>
          <w:b/>
          <w:sz w:val="24"/>
          <w:highlight w:val="none"/>
        </w:rPr>
        <w:t>第十二条</w:t>
      </w:r>
      <w:r>
        <w:rPr>
          <w:rFonts w:hint="eastAsia" w:ascii="宋体" w:hAnsi="宋体" w:eastAsia="宋体"/>
          <w:b/>
          <w:sz w:val="24"/>
          <w:highlight w:val="none"/>
          <w:lang w:val="en-US" w:eastAsia="zh-CN"/>
        </w:rPr>
        <w:t xml:space="preserve">  </w:t>
      </w:r>
      <w:r>
        <w:rPr>
          <w:rFonts w:hint="eastAsia" w:ascii="宋体" w:hAnsi="宋体" w:eastAsia="宋体"/>
          <w:b/>
          <w:sz w:val="24"/>
          <w:highlight w:val="none"/>
        </w:rPr>
        <w:t>争议的解决</w:t>
      </w:r>
    </w:p>
    <w:p w14:paraId="3B65AC03">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lang w:eastAsia="zh-CN"/>
        </w:rPr>
      </w:pPr>
      <w:r>
        <w:rPr>
          <w:rFonts w:hint="eastAsia" w:ascii="宋体" w:hAnsi="宋体" w:eastAsia="宋体"/>
          <w:b w:val="0"/>
          <w:bCs/>
          <w:sz w:val="24"/>
          <w:highlight w:val="none"/>
        </w:rPr>
        <w:t>（一）如因产品的质量问题发生争议，由法定的质量技术鉴定机构进行质量鉴定，双方应当服从该鉴定的结论</w:t>
      </w:r>
      <w:r>
        <w:rPr>
          <w:rFonts w:hint="eastAsia" w:ascii="宋体" w:hAnsi="宋体" w:eastAsia="宋体"/>
          <w:b w:val="0"/>
          <w:bCs/>
          <w:sz w:val="24"/>
          <w:highlight w:val="none"/>
          <w:lang w:eastAsia="zh-CN"/>
        </w:rPr>
        <w:t>。</w:t>
      </w:r>
    </w:p>
    <w:p w14:paraId="63570DB7">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rPr>
      </w:pPr>
      <w:r>
        <w:rPr>
          <w:rFonts w:hint="eastAsia" w:ascii="宋体" w:hAnsi="宋体" w:eastAsia="宋体"/>
          <w:b w:val="0"/>
          <w:bCs/>
          <w:sz w:val="24"/>
          <w:highlight w:val="none"/>
        </w:rPr>
        <w:t>（二）若执行本合同的过程中发生纠纷，双方当事人应当及时协商解决；协商不成时，可向甲方所在地人民法院提起诉讼。</w:t>
      </w:r>
    </w:p>
    <w:p w14:paraId="00FB5074">
      <w:pPr>
        <w:tabs>
          <w:tab w:val="left" w:pos="1350"/>
        </w:tabs>
        <w:adjustRightInd w:val="0"/>
        <w:spacing w:line="480" w:lineRule="exact"/>
        <w:ind w:firstLine="482" w:firstLineChars="200"/>
        <w:jc w:val="left"/>
        <w:textAlignment w:val="top"/>
        <w:rPr>
          <w:rFonts w:hint="eastAsia" w:ascii="宋体" w:hAnsi="宋体" w:eastAsia="宋体"/>
          <w:b/>
          <w:sz w:val="24"/>
          <w:highlight w:val="none"/>
        </w:rPr>
      </w:pPr>
      <w:r>
        <w:rPr>
          <w:rFonts w:hint="eastAsia" w:ascii="宋体" w:hAnsi="宋体" w:eastAsia="宋体"/>
          <w:b/>
          <w:sz w:val="24"/>
          <w:highlight w:val="none"/>
        </w:rPr>
        <w:t>第十三条</w:t>
      </w:r>
      <w:r>
        <w:rPr>
          <w:rFonts w:hint="eastAsia" w:ascii="宋体" w:hAnsi="宋体" w:eastAsia="宋体"/>
          <w:b/>
          <w:sz w:val="24"/>
          <w:highlight w:val="none"/>
          <w:lang w:val="en-US" w:eastAsia="zh-CN"/>
        </w:rPr>
        <w:t xml:space="preserve">  </w:t>
      </w:r>
      <w:r>
        <w:rPr>
          <w:rFonts w:hint="eastAsia" w:ascii="宋体" w:hAnsi="宋体" w:eastAsia="宋体"/>
          <w:b/>
          <w:sz w:val="24"/>
          <w:highlight w:val="none"/>
        </w:rPr>
        <w:t>保密条款</w:t>
      </w:r>
    </w:p>
    <w:p w14:paraId="5FD17ACF">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rPr>
      </w:pPr>
      <w:r>
        <w:rPr>
          <w:rFonts w:hint="eastAsia" w:ascii="宋体" w:hAnsi="宋体" w:eastAsia="宋体"/>
          <w:b w:val="0"/>
          <w:bCs/>
          <w:sz w:val="24"/>
          <w:highlight w:val="none"/>
        </w:rPr>
        <w:t>乙方遵守国家的经济、技术工作保密规定和甲方的保密工作条例，对项目实施期间从甲方了解的各种情况、获取的全部信息资料严格保密，不得泄露。本保密条款长期有效，直至甲方放弃保密要求。</w:t>
      </w:r>
    </w:p>
    <w:p w14:paraId="2E19D5BE">
      <w:pPr>
        <w:tabs>
          <w:tab w:val="left" w:pos="1350"/>
        </w:tabs>
        <w:adjustRightInd w:val="0"/>
        <w:spacing w:line="480" w:lineRule="exact"/>
        <w:ind w:firstLine="482" w:firstLineChars="200"/>
        <w:jc w:val="left"/>
        <w:textAlignment w:val="top"/>
        <w:rPr>
          <w:rFonts w:ascii="宋体" w:hAnsi="宋体" w:eastAsia="宋体"/>
          <w:b/>
          <w:sz w:val="24"/>
          <w:highlight w:val="none"/>
        </w:rPr>
      </w:pPr>
      <w:r>
        <w:rPr>
          <w:rFonts w:hint="eastAsia" w:ascii="宋体" w:hAnsi="宋体" w:eastAsia="宋体"/>
          <w:b/>
          <w:sz w:val="24"/>
          <w:highlight w:val="none"/>
        </w:rPr>
        <w:t>第十一条  无效合同</w:t>
      </w:r>
    </w:p>
    <w:p w14:paraId="5B11F633">
      <w:pPr>
        <w:adjustRightInd w:val="0"/>
        <w:spacing w:line="480" w:lineRule="exact"/>
        <w:ind w:firstLine="480" w:firstLineChars="200"/>
        <w:textAlignment w:val="top"/>
        <w:rPr>
          <w:rFonts w:ascii="宋体" w:hAnsi="宋体" w:eastAsia="宋体"/>
          <w:sz w:val="24"/>
          <w:highlight w:val="none"/>
        </w:rPr>
      </w:pPr>
      <w:r>
        <w:rPr>
          <w:rFonts w:hint="eastAsia" w:ascii="宋体" w:hAnsi="宋体" w:eastAsia="宋体"/>
          <w:sz w:val="24"/>
          <w:highlight w:val="none"/>
        </w:rPr>
        <w:t>甲乙双方如因违反法律和有关规定，合同被宣告无效的，有过错的一方应当承担赔偿责任，双方都有过错的，各自承担相应的责任。</w:t>
      </w:r>
    </w:p>
    <w:p w14:paraId="4355C614">
      <w:pPr>
        <w:adjustRightInd w:val="0"/>
        <w:spacing w:line="480" w:lineRule="exact"/>
        <w:ind w:firstLine="482" w:firstLineChars="200"/>
        <w:jc w:val="left"/>
        <w:textAlignment w:val="top"/>
        <w:rPr>
          <w:rFonts w:ascii="宋体" w:hAnsi="宋体" w:eastAsia="宋体"/>
          <w:b/>
          <w:sz w:val="24"/>
          <w:highlight w:val="none"/>
        </w:rPr>
      </w:pPr>
      <w:r>
        <w:rPr>
          <w:rFonts w:hint="eastAsia" w:ascii="宋体" w:hAnsi="宋体" w:eastAsia="宋体"/>
          <w:b/>
          <w:sz w:val="24"/>
          <w:highlight w:val="none"/>
        </w:rPr>
        <w:t>第十二条  附则</w:t>
      </w:r>
    </w:p>
    <w:p w14:paraId="15BE6706">
      <w:pPr>
        <w:adjustRightInd w:val="0"/>
        <w:spacing w:line="480" w:lineRule="exact"/>
        <w:ind w:firstLine="446" w:firstLineChars="186"/>
        <w:jc w:val="left"/>
        <w:textAlignment w:val="top"/>
        <w:rPr>
          <w:rFonts w:ascii="宋体" w:hAnsi="宋体" w:eastAsia="宋体"/>
          <w:sz w:val="24"/>
          <w:highlight w:val="none"/>
        </w:rPr>
      </w:pPr>
      <w:r>
        <w:rPr>
          <w:rFonts w:hint="eastAsia" w:ascii="宋体" w:hAnsi="宋体" w:eastAsia="宋体"/>
          <w:sz w:val="24"/>
          <w:highlight w:val="none"/>
        </w:rPr>
        <w:t>（一）本合同一式</w:t>
      </w:r>
      <w:r>
        <w:rPr>
          <w:rFonts w:hint="eastAsia" w:ascii="宋体" w:hAnsi="宋体" w:eastAsia="宋体"/>
          <w:sz w:val="24"/>
          <w:highlight w:val="none"/>
          <w:u w:val="single"/>
        </w:rPr>
        <w:t xml:space="preserve">   </w:t>
      </w:r>
      <w:r>
        <w:rPr>
          <w:rFonts w:hint="eastAsia" w:ascii="宋体" w:hAnsi="宋体" w:eastAsia="宋体"/>
          <w:sz w:val="24"/>
          <w:highlight w:val="none"/>
        </w:rPr>
        <w:t>份，甲方执</w:t>
      </w:r>
      <w:r>
        <w:rPr>
          <w:rFonts w:hint="eastAsia" w:ascii="宋体" w:hAnsi="宋体" w:eastAsia="宋体"/>
          <w:sz w:val="24"/>
          <w:highlight w:val="none"/>
          <w:u w:val="single"/>
        </w:rPr>
        <w:t xml:space="preserve">   </w:t>
      </w:r>
      <w:r>
        <w:rPr>
          <w:rFonts w:hint="eastAsia" w:ascii="宋体" w:hAnsi="宋体" w:eastAsia="宋体"/>
          <w:sz w:val="24"/>
          <w:highlight w:val="none"/>
        </w:rPr>
        <w:t>份，乙方执</w:t>
      </w:r>
      <w:r>
        <w:rPr>
          <w:rFonts w:hint="eastAsia" w:ascii="宋体" w:hAnsi="宋体" w:eastAsia="宋体"/>
          <w:sz w:val="24"/>
          <w:highlight w:val="none"/>
          <w:u w:val="single"/>
        </w:rPr>
        <w:t xml:space="preserve">   </w:t>
      </w:r>
      <w:r>
        <w:rPr>
          <w:rFonts w:hint="eastAsia" w:ascii="宋体" w:hAnsi="宋体" w:eastAsia="宋体"/>
          <w:sz w:val="24"/>
          <w:highlight w:val="none"/>
        </w:rPr>
        <w:t>份，每份均具同等法律效力。</w:t>
      </w:r>
    </w:p>
    <w:p w14:paraId="0F90DBA3">
      <w:pPr>
        <w:adjustRightInd w:val="0"/>
        <w:spacing w:line="480" w:lineRule="exact"/>
        <w:ind w:firstLine="446" w:firstLineChars="186"/>
        <w:jc w:val="left"/>
        <w:textAlignment w:val="top"/>
        <w:rPr>
          <w:rFonts w:ascii="宋体" w:hAnsi="宋体" w:eastAsia="宋体"/>
          <w:sz w:val="24"/>
          <w:highlight w:val="none"/>
        </w:rPr>
      </w:pPr>
      <w:r>
        <w:rPr>
          <w:rFonts w:hint="eastAsia" w:ascii="宋体" w:hAnsi="宋体" w:eastAsia="宋体"/>
          <w:sz w:val="24"/>
          <w:highlight w:val="none"/>
        </w:rPr>
        <w:t>（二）本合同自甲乙双方签字盖章后生效。</w:t>
      </w:r>
    </w:p>
    <w:p w14:paraId="155A71D6">
      <w:pPr>
        <w:pStyle w:val="25"/>
        <w:autoSpaceDE/>
        <w:autoSpaceDN/>
        <w:spacing w:line="480" w:lineRule="exact"/>
        <w:ind w:firstLine="480" w:firstLineChars="200"/>
        <w:textAlignment w:val="top"/>
        <w:rPr>
          <w:rFonts w:hAnsi="宋体"/>
          <w:sz w:val="24"/>
          <w:szCs w:val="24"/>
          <w:highlight w:val="none"/>
        </w:rPr>
      </w:pPr>
    </w:p>
    <w:p w14:paraId="676FCF7C">
      <w:pPr>
        <w:spacing w:line="480" w:lineRule="exact"/>
        <w:ind w:firstLine="480" w:firstLineChars="200"/>
        <w:rPr>
          <w:rFonts w:ascii="宋体" w:hAnsi="宋体" w:eastAsia="宋体"/>
          <w:sz w:val="24"/>
          <w:highlight w:val="none"/>
        </w:rPr>
      </w:pPr>
      <w:r>
        <w:rPr>
          <w:rFonts w:hint="eastAsia" w:ascii="宋体" w:hAnsi="宋体" w:eastAsia="宋体"/>
          <w:sz w:val="24"/>
          <w:highlight w:val="none"/>
        </w:rPr>
        <w:t>购货单位（甲方）：</w:t>
      </w:r>
      <w:r>
        <w:rPr>
          <w:rFonts w:ascii="宋体" w:hAnsi="宋体" w:eastAsia="宋体"/>
          <w:sz w:val="24"/>
          <w:highlight w:val="none"/>
        </w:rPr>
        <w:t xml:space="preserve">          </w:t>
      </w:r>
      <w:r>
        <w:rPr>
          <w:rFonts w:hint="eastAsia" w:ascii="宋体" w:hAnsi="宋体" w:eastAsia="宋体"/>
          <w:sz w:val="24"/>
          <w:highlight w:val="none"/>
        </w:rPr>
        <w:t xml:space="preserve">   </w:t>
      </w:r>
      <w:r>
        <w:rPr>
          <w:rFonts w:ascii="宋体" w:hAnsi="宋体" w:eastAsia="宋体"/>
          <w:sz w:val="24"/>
          <w:highlight w:val="none"/>
        </w:rPr>
        <w:t xml:space="preserve"> </w:t>
      </w:r>
      <w:r>
        <w:rPr>
          <w:rFonts w:hint="eastAsia" w:ascii="宋体" w:hAnsi="宋体" w:eastAsia="宋体"/>
          <w:sz w:val="24"/>
          <w:highlight w:val="none"/>
        </w:rPr>
        <w:t xml:space="preserve">  供货单位（乙方）：</w:t>
      </w:r>
    </w:p>
    <w:p w14:paraId="7270C680">
      <w:pPr>
        <w:spacing w:line="480" w:lineRule="exact"/>
        <w:ind w:firstLine="480" w:firstLineChars="200"/>
        <w:rPr>
          <w:rFonts w:ascii="宋体" w:hAnsi="宋体" w:eastAsia="宋体"/>
          <w:sz w:val="24"/>
          <w:highlight w:val="none"/>
        </w:rPr>
      </w:pPr>
      <w:r>
        <w:rPr>
          <w:rFonts w:hint="eastAsia" w:ascii="宋体" w:hAnsi="宋体" w:eastAsia="宋体"/>
          <w:sz w:val="24"/>
          <w:highlight w:val="none"/>
        </w:rPr>
        <w:t>法定代表人：</w:t>
      </w:r>
      <w:r>
        <w:rPr>
          <w:rFonts w:ascii="宋体" w:hAnsi="宋体" w:eastAsia="宋体"/>
          <w:sz w:val="24"/>
          <w:highlight w:val="none"/>
        </w:rPr>
        <w:t xml:space="preserve">          </w:t>
      </w:r>
      <w:r>
        <w:rPr>
          <w:rFonts w:hint="eastAsia" w:ascii="宋体" w:hAnsi="宋体" w:eastAsia="宋体"/>
          <w:sz w:val="24"/>
          <w:highlight w:val="none"/>
        </w:rPr>
        <w:t xml:space="preserve">  </w:t>
      </w:r>
      <w:r>
        <w:rPr>
          <w:rFonts w:ascii="宋体" w:hAnsi="宋体" w:eastAsia="宋体"/>
          <w:sz w:val="24"/>
          <w:highlight w:val="none"/>
        </w:rPr>
        <w:t xml:space="preserve">    </w:t>
      </w:r>
      <w:r>
        <w:rPr>
          <w:rFonts w:hint="eastAsia" w:ascii="宋体" w:hAnsi="宋体" w:eastAsia="宋体"/>
          <w:sz w:val="24"/>
          <w:highlight w:val="none"/>
        </w:rPr>
        <w:t xml:space="preserve">      法定代表人/负责人：</w:t>
      </w:r>
    </w:p>
    <w:p w14:paraId="75E06716">
      <w:pPr>
        <w:spacing w:line="480" w:lineRule="exact"/>
        <w:ind w:firstLine="480" w:firstLineChars="200"/>
        <w:rPr>
          <w:rFonts w:ascii="宋体" w:hAnsi="宋体" w:eastAsia="宋体"/>
          <w:sz w:val="24"/>
          <w:highlight w:val="none"/>
        </w:rPr>
      </w:pPr>
      <w:r>
        <w:rPr>
          <w:rFonts w:hint="eastAsia" w:ascii="宋体" w:hAnsi="宋体" w:eastAsia="宋体"/>
          <w:sz w:val="24"/>
          <w:highlight w:val="none"/>
        </w:rPr>
        <w:t>委托代理人：</w:t>
      </w:r>
      <w:r>
        <w:rPr>
          <w:rFonts w:ascii="宋体" w:hAnsi="宋体" w:eastAsia="宋体"/>
          <w:sz w:val="24"/>
          <w:highlight w:val="none"/>
        </w:rPr>
        <w:t xml:space="preserve">            </w:t>
      </w:r>
      <w:r>
        <w:rPr>
          <w:rFonts w:hint="eastAsia" w:ascii="宋体" w:hAnsi="宋体" w:eastAsia="宋体"/>
          <w:sz w:val="24"/>
          <w:highlight w:val="none"/>
        </w:rPr>
        <w:t xml:space="preserve">  </w:t>
      </w:r>
      <w:r>
        <w:rPr>
          <w:rFonts w:ascii="宋体" w:hAnsi="宋体" w:eastAsia="宋体"/>
          <w:sz w:val="24"/>
          <w:highlight w:val="none"/>
        </w:rPr>
        <w:t xml:space="preserve">  </w:t>
      </w:r>
      <w:r>
        <w:rPr>
          <w:rFonts w:hint="eastAsia" w:ascii="宋体" w:hAnsi="宋体" w:eastAsia="宋体"/>
          <w:sz w:val="24"/>
          <w:highlight w:val="none"/>
        </w:rPr>
        <w:t xml:space="preserve">      委托代理人：</w:t>
      </w:r>
    </w:p>
    <w:p w14:paraId="7CB7F51A">
      <w:pPr>
        <w:spacing w:line="480" w:lineRule="exact"/>
        <w:ind w:firstLine="480" w:firstLineChars="200"/>
        <w:rPr>
          <w:rFonts w:ascii="宋体" w:hAnsi="宋体" w:eastAsia="宋体"/>
          <w:sz w:val="24"/>
          <w:highlight w:val="none"/>
        </w:rPr>
      </w:pPr>
      <w:r>
        <w:rPr>
          <w:rFonts w:hint="eastAsia" w:ascii="宋体" w:hAnsi="宋体" w:eastAsia="宋体"/>
          <w:sz w:val="24"/>
          <w:highlight w:val="none"/>
        </w:rPr>
        <w:t>地址：</w:t>
      </w:r>
      <w:r>
        <w:rPr>
          <w:rFonts w:ascii="宋体" w:hAnsi="宋体" w:eastAsia="宋体"/>
          <w:sz w:val="24"/>
          <w:highlight w:val="none"/>
        </w:rPr>
        <w:t xml:space="preserve">                    </w:t>
      </w:r>
      <w:r>
        <w:rPr>
          <w:rFonts w:hint="eastAsia" w:ascii="宋体" w:hAnsi="宋体" w:eastAsia="宋体"/>
          <w:sz w:val="24"/>
          <w:highlight w:val="none"/>
        </w:rPr>
        <w:t xml:space="preserve">        地址：</w:t>
      </w:r>
    </w:p>
    <w:p w14:paraId="61523460">
      <w:pPr>
        <w:spacing w:line="480" w:lineRule="exact"/>
        <w:ind w:firstLine="480" w:firstLineChars="200"/>
        <w:rPr>
          <w:rFonts w:ascii="宋体" w:hAnsi="宋体" w:eastAsia="宋体"/>
          <w:sz w:val="24"/>
          <w:highlight w:val="none"/>
        </w:rPr>
      </w:pPr>
      <w:r>
        <w:rPr>
          <w:rFonts w:hint="eastAsia" w:ascii="宋体" w:hAnsi="宋体" w:eastAsia="宋体"/>
          <w:sz w:val="24"/>
          <w:highlight w:val="none"/>
        </w:rPr>
        <w:t>开户银行：</w:t>
      </w:r>
      <w:r>
        <w:rPr>
          <w:rFonts w:ascii="宋体" w:hAnsi="宋体" w:eastAsia="宋体"/>
          <w:sz w:val="24"/>
          <w:highlight w:val="none"/>
        </w:rPr>
        <w:t xml:space="preserve">    </w:t>
      </w:r>
      <w:r>
        <w:rPr>
          <w:rFonts w:hint="eastAsia" w:ascii="宋体" w:hAnsi="宋体" w:eastAsia="宋体"/>
          <w:sz w:val="24"/>
          <w:highlight w:val="none"/>
        </w:rPr>
        <w:t xml:space="preserve">  </w:t>
      </w:r>
      <w:r>
        <w:rPr>
          <w:rFonts w:ascii="宋体" w:hAnsi="宋体" w:eastAsia="宋体"/>
          <w:sz w:val="24"/>
          <w:highlight w:val="none"/>
        </w:rPr>
        <w:t xml:space="preserve">         </w:t>
      </w:r>
      <w:r>
        <w:rPr>
          <w:rFonts w:hint="eastAsia" w:ascii="宋体" w:hAnsi="宋体" w:eastAsia="宋体"/>
          <w:sz w:val="24"/>
          <w:highlight w:val="none"/>
        </w:rPr>
        <w:t xml:space="preserve">  </w:t>
      </w:r>
      <w:r>
        <w:rPr>
          <w:rFonts w:ascii="宋体" w:hAnsi="宋体" w:eastAsia="宋体"/>
          <w:sz w:val="24"/>
          <w:highlight w:val="none"/>
        </w:rPr>
        <w:t xml:space="preserve"> </w:t>
      </w:r>
      <w:r>
        <w:rPr>
          <w:rFonts w:hint="eastAsia" w:ascii="宋体" w:hAnsi="宋体" w:eastAsia="宋体"/>
          <w:sz w:val="24"/>
          <w:highlight w:val="none"/>
        </w:rPr>
        <w:t xml:space="preserve">      开户银行：</w:t>
      </w:r>
    </w:p>
    <w:p w14:paraId="5E70A112">
      <w:pPr>
        <w:spacing w:line="480" w:lineRule="exact"/>
        <w:ind w:firstLine="480" w:firstLineChars="200"/>
        <w:rPr>
          <w:rFonts w:ascii="宋体" w:hAnsi="宋体" w:eastAsia="宋体"/>
          <w:sz w:val="24"/>
          <w:highlight w:val="none"/>
        </w:rPr>
      </w:pPr>
      <w:r>
        <w:rPr>
          <w:rFonts w:hint="eastAsia" w:ascii="宋体" w:hAnsi="宋体" w:eastAsia="宋体"/>
          <w:sz w:val="24"/>
          <w:highlight w:val="none"/>
        </w:rPr>
        <w:t>账号：</w:t>
      </w:r>
      <w:r>
        <w:rPr>
          <w:rFonts w:ascii="宋体" w:hAnsi="宋体" w:eastAsia="宋体"/>
          <w:sz w:val="24"/>
          <w:highlight w:val="none"/>
        </w:rPr>
        <w:t xml:space="preserve">                 </w:t>
      </w:r>
      <w:r>
        <w:rPr>
          <w:rFonts w:hint="eastAsia" w:ascii="宋体" w:hAnsi="宋体" w:eastAsia="宋体"/>
          <w:sz w:val="24"/>
          <w:highlight w:val="none"/>
        </w:rPr>
        <w:t xml:space="preserve">  </w:t>
      </w:r>
      <w:r>
        <w:rPr>
          <w:rFonts w:ascii="宋体" w:hAnsi="宋体" w:eastAsia="宋体"/>
          <w:sz w:val="24"/>
          <w:highlight w:val="none"/>
        </w:rPr>
        <w:t xml:space="preserve">   </w:t>
      </w:r>
      <w:r>
        <w:rPr>
          <w:rFonts w:hint="eastAsia" w:ascii="宋体" w:hAnsi="宋体" w:eastAsia="宋体"/>
          <w:sz w:val="24"/>
          <w:highlight w:val="none"/>
        </w:rPr>
        <w:t xml:space="preserve">      账号：</w:t>
      </w:r>
    </w:p>
    <w:p w14:paraId="20BC047B">
      <w:pPr>
        <w:spacing w:line="480" w:lineRule="exact"/>
        <w:ind w:firstLine="480" w:firstLineChars="200"/>
        <w:rPr>
          <w:rFonts w:ascii="宋体" w:hAnsi="宋体" w:eastAsia="宋体"/>
          <w:sz w:val="24"/>
          <w:highlight w:val="none"/>
        </w:rPr>
      </w:pPr>
      <w:r>
        <w:rPr>
          <w:rFonts w:hint="eastAsia" w:ascii="宋体" w:hAnsi="宋体" w:eastAsia="宋体"/>
          <w:sz w:val="24"/>
          <w:highlight w:val="none"/>
        </w:rPr>
        <w:t>电话：</w:t>
      </w:r>
      <w:r>
        <w:rPr>
          <w:rFonts w:ascii="宋体" w:hAnsi="宋体" w:eastAsia="宋体"/>
          <w:sz w:val="24"/>
          <w:highlight w:val="none"/>
        </w:rPr>
        <w:t xml:space="preserve">              </w:t>
      </w:r>
      <w:r>
        <w:rPr>
          <w:rFonts w:hint="eastAsia" w:ascii="宋体" w:hAnsi="宋体" w:eastAsia="宋体"/>
          <w:sz w:val="24"/>
          <w:highlight w:val="none"/>
        </w:rPr>
        <w:t xml:space="preserve">  </w:t>
      </w:r>
      <w:r>
        <w:rPr>
          <w:rFonts w:ascii="宋体" w:hAnsi="宋体" w:eastAsia="宋体"/>
          <w:sz w:val="24"/>
          <w:highlight w:val="none"/>
        </w:rPr>
        <w:t xml:space="preserve">      </w:t>
      </w:r>
      <w:r>
        <w:rPr>
          <w:rFonts w:hint="eastAsia" w:ascii="宋体" w:hAnsi="宋体" w:eastAsia="宋体"/>
          <w:sz w:val="24"/>
          <w:highlight w:val="none"/>
        </w:rPr>
        <w:t xml:space="preserve">      电话：</w:t>
      </w:r>
    </w:p>
    <w:p w14:paraId="0567F258">
      <w:pPr>
        <w:spacing w:line="480" w:lineRule="exact"/>
        <w:ind w:firstLine="480" w:firstLineChars="200"/>
        <w:rPr>
          <w:rFonts w:ascii="宋体" w:hAnsi="宋体" w:eastAsia="宋体"/>
          <w:sz w:val="24"/>
          <w:highlight w:val="none"/>
        </w:rPr>
      </w:pPr>
    </w:p>
    <w:p w14:paraId="7A8B3A70">
      <w:pPr>
        <w:spacing w:line="480" w:lineRule="exact"/>
        <w:ind w:firstLine="480" w:firstLineChars="200"/>
        <w:rPr>
          <w:rFonts w:ascii="宋体" w:hAnsi="宋体" w:eastAsia="宋体"/>
          <w:sz w:val="24"/>
          <w:highlight w:val="none"/>
        </w:rPr>
      </w:pPr>
      <w:r>
        <w:rPr>
          <w:rFonts w:hint="eastAsia" w:ascii="宋体" w:hAnsi="宋体" w:eastAsia="宋体"/>
          <w:sz w:val="24"/>
          <w:highlight w:val="none"/>
        </w:rPr>
        <w:t>签约时间：</w:t>
      </w:r>
      <w:r>
        <w:rPr>
          <w:rFonts w:ascii="宋体" w:hAnsi="宋体" w:eastAsia="宋体"/>
          <w:sz w:val="24"/>
          <w:highlight w:val="none"/>
        </w:rPr>
        <w:t xml:space="preserve"> </w:t>
      </w:r>
      <w:r>
        <w:rPr>
          <w:rFonts w:hint="eastAsia" w:ascii="宋体" w:hAnsi="宋体" w:eastAsia="宋体"/>
          <w:sz w:val="24"/>
          <w:highlight w:val="none"/>
        </w:rPr>
        <w:t xml:space="preserve"> </w:t>
      </w:r>
      <w:r>
        <w:rPr>
          <w:rFonts w:ascii="宋体" w:hAnsi="宋体" w:eastAsia="宋体"/>
          <w:sz w:val="24"/>
          <w:highlight w:val="none"/>
        </w:rPr>
        <w:t xml:space="preserve">    </w:t>
      </w:r>
      <w:r>
        <w:rPr>
          <w:rFonts w:hint="eastAsia" w:ascii="宋体" w:hAnsi="宋体" w:eastAsia="宋体"/>
          <w:sz w:val="24"/>
          <w:highlight w:val="none"/>
        </w:rPr>
        <w:t>年</w:t>
      </w:r>
      <w:r>
        <w:rPr>
          <w:rFonts w:ascii="宋体" w:hAnsi="宋体" w:eastAsia="宋体"/>
          <w:sz w:val="24"/>
          <w:highlight w:val="none"/>
        </w:rPr>
        <w:t xml:space="preserve"> </w:t>
      </w:r>
      <w:r>
        <w:rPr>
          <w:rFonts w:hint="eastAsia" w:ascii="宋体" w:hAnsi="宋体" w:eastAsia="宋体"/>
          <w:sz w:val="24"/>
          <w:highlight w:val="none"/>
        </w:rPr>
        <w:t xml:space="preserve"> </w:t>
      </w:r>
      <w:r>
        <w:rPr>
          <w:rFonts w:ascii="宋体" w:hAnsi="宋体" w:eastAsia="宋体"/>
          <w:sz w:val="24"/>
          <w:highlight w:val="none"/>
        </w:rPr>
        <w:t xml:space="preserve">  </w:t>
      </w:r>
      <w:r>
        <w:rPr>
          <w:rFonts w:hint="eastAsia" w:ascii="宋体" w:hAnsi="宋体" w:eastAsia="宋体"/>
          <w:sz w:val="24"/>
          <w:highlight w:val="none"/>
        </w:rPr>
        <w:t>月</w:t>
      </w:r>
      <w:r>
        <w:rPr>
          <w:rFonts w:ascii="宋体" w:hAnsi="宋体" w:eastAsia="宋体"/>
          <w:sz w:val="24"/>
          <w:highlight w:val="none"/>
        </w:rPr>
        <w:t xml:space="preserve"> </w:t>
      </w:r>
      <w:r>
        <w:rPr>
          <w:rFonts w:hint="eastAsia" w:ascii="宋体" w:hAnsi="宋体" w:eastAsia="宋体"/>
          <w:sz w:val="24"/>
          <w:highlight w:val="none"/>
        </w:rPr>
        <w:t xml:space="preserve"> </w:t>
      </w:r>
      <w:r>
        <w:rPr>
          <w:rFonts w:ascii="宋体" w:hAnsi="宋体" w:eastAsia="宋体"/>
          <w:sz w:val="24"/>
          <w:highlight w:val="none"/>
        </w:rPr>
        <w:t xml:space="preserve">  </w:t>
      </w:r>
      <w:r>
        <w:rPr>
          <w:rFonts w:hint="eastAsia" w:ascii="宋体" w:hAnsi="宋体" w:eastAsia="宋体"/>
          <w:sz w:val="24"/>
          <w:highlight w:val="none"/>
        </w:rPr>
        <w:t>日</w:t>
      </w:r>
    </w:p>
    <w:p w14:paraId="2708ECDB">
      <w:pPr>
        <w:spacing w:line="480" w:lineRule="exact"/>
        <w:ind w:firstLine="480" w:firstLineChars="200"/>
        <w:rPr>
          <w:rFonts w:ascii="宋体" w:hAnsi="宋体" w:eastAsia="宋体"/>
          <w:sz w:val="24"/>
          <w:highlight w:val="none"/>
        </w:rPr>
      </w:pPr>
      <w:r>
        <w:rPr>
          <w:rFonts w:hint="eastAsia" w:ascii="宋体" w:hAnsi="宋体" w:eastAsia="宋体"/>
          <w:sz w:val="24"/>
          <w:highlight w:val="none"/>
        </w:rPr>
        <w:t>签约地点：</w:t>
      </w:r>
    </w:p>
    <w:p w14:paraId="238AD7A9">
      <w:pPr>
        <w:spacing w:line="480" w:lineRule="exact"/>
        <w:ind w:firstLine="482" w:firstLineChars="200"/>
        <w:rPr>
          <w:rFonts w:ascii="宋体" w:hAnsi="宋体" w:eastAsia="宋体"/>
          <w:b/>
          <w:sz w:val="24"/>
          <w:highlight w:val="none"/>
        </w:rPr>
      </w:pPr>
    </w:p>
    <w:p w14:paraId="7A4F0BEA">
      <w:pPr>
        <w:pStyle w:val="23"/>
        <w:spacing w:line="360" w:lineRule="auto"/>
        <w:ind w:firstLine="482"/>
        <w:outlineLvl w:val="1"/>
        <w:rPr>
          <w:rFonts w:hAnsi="宋体"/>
          <w:sz w:val="24"/>
          <w:szCs w:val="24"/>
          <w:highlight w:val="none"/>
        </w:rPr>
      </w:pPr>
    </w:p>
    <w:p w14:paraId="30AA6CE3">
      <w:pPr>
        <w:pStyle w:val="23"/>
        <w:spacing w:line="360" w:lineRule="auto"/>
        <w:ind w:firstLine="482"/>
        <w:outlineLvl w:val="1"/>
        <w:rPr>
          <w:rFonts w:hAnsi="宋体"/>
          <w:sz w:val="24"/>
          <w:szCs w:val="24"/>
          <w:highlight w:val="none"/>
        </w:rPr>
      </w:pPr>
    </w:p>
    <w:p w14:paraId="5C6639B6">
      <w:pPr>
        <w:pStyle w:val="23"/>
        <w:spacing w:line="360" w:lineRule="auto"/>
        <w:ind w:firstLine="482"/>
        <w:outlineLvl w:val="1"/>
        <w:rPr>
          <w:rFonts w:hAnsi="宋体"/>
          <w:sz w:val="24"/>
          <w:szCs w:val="24"/>
          <w:highlight w:val="none"/>
        </w:rPr>
      </w:pPr>
    </w:p>
    <w:p w14:paraId="2FA648BA">
      <w:pPr>
        <w:pStyle w:val="23"/>
        <w:spacing w:line="360" w:lineRule="auto"/>
        <w:ind w:firstLine="482"/>
        <w:outlineLvl w:val="1"/>
        <w:rPr>
          <w:rFonts w:hAnsi="宋体"/>
          <w:sz w:val="24"/>
          <w:szCs w:val="24"/>
          <w:highlight w:val="none"/>
        </w:rPr>
      </w:pPr>
    </w:p>
    <w:p w14:paraId="4C800D28">
      <w:pPr>
        <w:pStyle w:val="23"/>
        <w:spacing w:line="360" w:lineRule="auto"/>
        <w:ind w:firstLine="482"/>
        <w:outlineLvl w:val="1"/>
        <w:rPr>
          <w:rFonts w:hAnsi="宋体"/>
          <w:sz w:val="24"/>
          <w:szCs w:val="24"/>
          <w:highlight w:val="none"/>
        </w:rPr>
      </w:pPr>
    </w:p>
    <w:p w14:paraId="4F9C37B0">
      <w:pPr>
        <w:pStyle w:val="23"/>
        <w:spacing w:line="360" w:lineRule="auto"/>
        <w:ind w:firstLine="482"/>
        <w:outlineLvl w:val="1"/>
        <w:rPr>
          <w:rFonts w:hAnsi="宋体"/>
          <w:sz w:val="24"/>
          <w:szCs w:val="24"/>
          <w:highlight w:val="none"/>
        </w:rPr>
      </w:pPr>
    </w:p>
    <w:p w14:paraId="23B9BD1C">
      <w:pPr>
        <w:pStyle w:val="23"/>
        <w:spacing w:line="360" w:lineRule="auto"/>
        <w:ind w:firstLine="482"/>
        <w:outlineLvl w:val="1"/>
        <w:rPr>
          <w:rFonts w:hAnsi="宋体"/>
          <w:sz w:val="24"/>
          <w:szCs w:val="24"/>
          <w:highlight w:val="none"/>
        </w:rPr>
      </w:pPr>
    </w:p>
    <w:p w14:paraId="5A711367">
      <w:pPr>
        <w:pStyle w:val="23"/>
        <w:spacing w:line="360" w:lineRule="auto"/>
        <w:ind w:firstLine="482"/>
        <w:outlineLvl w:val="1"/>
        <w:rPr>
          <w:rFonts w:hAnsi="宋体"/>
          <w:sz w:val="24"/>
          <w:szCs w:val="24"/>
          <w:highlight w:val="none"/>
        </w:rPr>
      </w:pPr>
    </w:p>
    <w:p w14:paraId="7D1F394F">
      <w:pPr>
        <w:pStyle w:val="23"/>
        <w:spacing w:line="360" w:lineRule="auto"/>
        <w:ind w:firstLine="482"/>
        <w:outlineLvl w:val="1"/>
        <w:rPr>
          <w:rFonts w:hAnsi="宋体"/>
          <w:sz w:val="24"/>
          <w:szCs w:val="24"/>
          <w:highlight w:val="none"/>
        </w:rPr>
      </w:pPr>
    </w:p>
    <w:p w14:paraId="7A189E6F">
      <w:pPr>
        <w:pStyle w:val="23"/>
        <w:spacing w:line="360" w:lineRule="auto"/>
        <w:ind w:firstLine="482"/>
        <w:outlineLvl w:val="1"/>
        <w:rPr>
          <w:rFonts w:hAnsi="宋体"/>
          <w:sz w:val="24"/>
          <w:szCs w:val="24"/>
          <w:highlight w:val="none"/>
        </w:rPr>
      </w:pPr>
    </w:p>
    <w:p w14:paraId="25B2C1F5">
      <w:pPr>
        <w:pStyle w:val="23"/>
        <w:spacing w:line="360" w:lineRule="auto"/>
        <w:ind w:firstLine="482"/>
        <w:outlineLvl w:val="1"/>
        <w:rPr>
          <w:rFonts w:hAnsi="宋体"/>
          <w:sz w:val="24"/>
          <w:szCs w:val="24"/>
          <w:highlight w:val="none"/>
        </w:rPr>
      </w:pPr>
    </w:p>
    <w:p w14:paraId="48EE7836">
      <w:pPr>
        <w:pStyle w:val="23"/>
        <w:spacing w:line="360" w:lineRule="auto"/>
        <w:ind w:firstLine="482"/>
        <w:outlineLvl w:val="1"/>
        <w:rPr>
          <w:rFonts w:hAnsi="宋体"/>
          <w:sz w:val="24"/>
          <w:szCs w:val="24"/>
          <w:highlight w:val="none"/>
        </w:rPr>
      </w:pPr>
    </w:p>
    <w:p w14:paraId="1EEC8E5D">
      <w:pPr>
        <w:pStyle w:val="23"/>
        <w:spacing w:line="360" w:lineRule="auto"/>
        <w:ind w:firstLine="482"/>
        <w:outlineLvl w:val="1"/>
        <w:rPr>
          <w:rFonts w:hAnsi="宋体"/>
          <w:sz w:val="24"/>
          <w:szCs w:val="24"/>
          <w:highlight w:val="none"/>
        </w:rPr>
      </w:pPr>
    </w:p>
    <w:p w14:paraId="344CB8DE">
      <w:pPr>
        <w:pStyle w:val="23"/>
        <w:spacing w:line="360" w:lineRule="auto"/>
        <w:ind w:firstLine="482"/>
        <w:outlineLvl w:val="1"/>
        <w:rPr>
          <w:rFonts w:hAnsi="宋体"/>
          <w:sz w:val="24"/>
          <w:szCs w:val="24"/>
          <w:highlight w:val="none"/>
        </w:rPr>
      </w:pPr>
    </w:p>
    <w:p w14:paraId="22FD1FCC">
      <w:pPr>
        <w:pStyle w:val="23"/>
        <w:spacing w:line="360" w:lineRule="auto"/>
        <w:ind w:firstLine="482"/>
        <w:outlineLvl w:val="1"/>
        <w:rPr>
          <w:rFonts w:hAnsi="宋体"/>
          <w:sz w:val="24"/>
          <w:szCs w:val="24"/>
          <w:highlight w:val="none"/>
        </w:rPr>
      </w:pPr>
    </w:p>
    <w:p w14:paraId="5FEBBFFD">
      <w:pPr>
        <w:pStyle w:val="23"/>
        <w:spacing w:line="360" w:lineRule="auto"/>
        <w:ind w:firstLine="482"/>
        <w:outlineLvl w:val="1"/>
        <w:rPr>
          <w:rFonts w:hAnsi="宋体"/>
          <w:sz w:val="24"/>
          <w:szCs w:val="24"/>
          <w:highlight w:val="none"/>
        </w:rPr>
      </w:pPr>
    </w:p>
    <w:p w14:paraId="5AFDCE85">
      <w:pPr>
        <w:pStyle w:val="23"/>
        <w:spacing w:line="360" w:lineRule="auto"/>
        <w:ind w:firstLine="482"/>
        <w:outlineLvl w:val="1"/>
        <w:rPr>
          <w:rFonts w:hAnsi="宋体"/>
          <w:sz w:val="24"/>
          <w:szCs w:val="24"/>
          <w:highlight w:val="none"/>
        </w:rPr>
      </w:pPr>
    </w:p>
    <w:p w14:paraId="0D7B9584">
      <w:pPr>
        <w:pStyle w:val="23"/>
        <w:spacing w:line="360" w:lineRule="auto"/>
        <w:outlineLvl w:val="1"/>
        <w:rPr>
          <w:rFonts w:hAnsi="宋体"/>
          <w:sz w:val="24"/>
          <w:szCs w:val="24"/>
          <w:highlight w:val="none"/>
        </w:rPr>
      </w:pPr>
    </w:p>
    <w:bookmarkEnd w:id="219"/>
    <w:bookmarkEnd w:id="220"/>
    <w:bookmarkEnd w:id="221"/>
    <w:bookmarkEnd w:id="222"/>
    <w:bookmarkEnd w:id="223"/>
    <w:bookmarkEnd w:id="224"/>
    <w:bookmarkEnd w:id="225"/>
    <w:bookmarkEnd w:id="226"/>
    <w:bookmarkEnd w:id="227"/>
    <w:bookmarkEnd w:id="228"/>
    <w:bookmarkEnd w:id="241"/>
    <w:p w14:paraId="1AC47D4D">
      <w:pPr>
        <w:pStyle w:val="40"/>
        <w:spacing w:line="360" w:lineRule="auto"/>
        <w:rPr>
          <w:sz w:val="36"/>
          <w:highlight w:val="none"/>
        </w:rPr>
      </w:pPr>
      <w:bookmarkStart w:id="246" w:name="_Toc184723378"/>
      <w:r>
        <w:rPr>
          <w:sz w:val="36"/>
          <w:highlight w:val="none"/>
        </w:rPr>
        <w:t>第六部分</w:t>
      </w:r>
      <w:bookmarkEnd w:id="229"/>
      <w:bookmarkEnd w:id="230"/>
      <w:bookmarkEnd w:id="231"/>
      <w:bookmarkEnd w:id="232"/>
      <w:bookmarkEnd w:id="233"/>
      <w:r>
        <w:rPr>
          <w:sz w:val="36"/>
          <w:highlight w:val="none"/>
        </w:rPr>
        <w:t xml:space="preserve"> 遴选响应文件格式</w:t>
      </w:r>
      <w:bookmarkEnd w:id="234"/>
      <w:bookmarkEnd w:id="235"/>
      <w:bookmarkEnd w:id="236"/>
      <w:bookmarkEnd w:id="237"/>
      <w:bookmarkEnd w:id="238"/>
      <w:bookmarkEnd w:id="246"/>
    </w:p>
    <w:p w14:paraId="688DE6EC">
      <w:pPr>
        <w:rPr>
          <w:highlight w:val="none"/>
        </w:rPr>
      </w:pPr>
      <w:r>
        <w:rPr>
          <w:rFonts w:hint="eastAsia"/>
          <w:highlight w:val="none"/>
        </w:rPr>
        <w:t>详见附件《遴选响应文件》。</w:t>
      </w:r>
    </w:p>
    <w:sectPr>
      <w:headerReference r:id="rId8" w:type="first"/>
      <w:footerReference r:id="rId10" w:type="first"/>
      <w:footerReference r:id="rId9" w:type="default"/>
      <w:pgSz w:w="11926" w:h="16867"/>
      <w:pgMar w:top="1440" w:right="1797" w:bottom="1440" w:left="1797" w:header="720" w:footer="720" w:gutter="0"/>
      <w:cols w:space="720" w:num="1"/>
      <w:docGrid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0ECDF">
    <w:pPr>
      <w:pStyle w:val="28"/>
      <w:framePr w:w="8359" w:h="616" w:hRule="exact" w:wrap="around" w:vAnchor="text" w:hAnchor="page" w:x="1798" w:y="-52"/>
      <w:tabs>
        <w:tab w:val="left" w:pos="9027"/>
      </w:tabs>
      <w:ind w:right="-18"/>
    </w:pPr>
    <w:r>
      <w:rPr>
        <w:rStyle w:val="46"/>
        <w:rFonts w:hint="eastAsia"/>
        <w:szCs w:val="21"/>
      </w:rPr>
      <w:t xml:space="preserve">深圳市合创建设工程顾问有限公司                                             第 </w:t>
    </w:r>
    <w:r>
      <w:rPr>
        <w:szCs w:val="21"/>
      </w:rPr>
      <w:fldChar w:fldCharType="begin"/>
    </w:r>
    <w:r>
      <w:rPr>
        <w:rStyle w:val="46"/>
        <w:szCs w:val="21"/>
      </w:rPr>
      <w:instrText xml:space="preserve">PAGE   \* MERGEFORMAT</w:instrText>
    </w:r>
    <w:r>
      <w:rPr>
        <w:szCs w:val="21"/>
      </w:rPr>
      <w:fldChar w:fldCharType="separate"/>
    </w:r>
    <w:r>
      <w:rPr>
        <w:rStyle w:val="46"/>
        <w:szCs w:val="21"/>
        <w:lang w:val="zh-CN"/>
      </w:rPr>
      <w:t>27</w:t>
    </w:r>
    <w:r>
      <w:rPr>
        <w:szCs w:val="21"/>
      </w:rPr>
      <w:fldChar w:fldCharType="end"/>
    </w:r>
    <w:r>
      <w:rPr>
        <w:rStyle w:val="46"/>
        <w:rFonts w:hint="eastAsia"/>
        <w:szCs w:val="21"/>
      </w:rPr>
      <w:t xml:space="preserve"> 页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5396F">
    <w:pPr>
      <w:pStyle w:val="28"/>
      <w:framePr w:wrap="around" w:vAnchor="text" w:hAnchor="margin" w:xAlign="center" w:y="1"/>
      <w:rPr>
        <w:rStyle w:val="46"/>
      </w:rPr>
    </w:pPr>
    <w:r>
      <w:fldChar w:fldCharType="begin"/>
    </w:r>
    <w:r>
      <w:rPr>
        <w:rStyle w:val="46"/>
      </w:rPr>
      <w:instrText xml:space="preserve">PAGE  </w:instrText>
    </w:r>
    <w:r>
      <w:fldChar w:fldCharType="separate"/>
    </w:r>
    <w:r>
      <w:rPr>
        <w:rStyle w:val="46"/>
      </w:rPr>
      <w:t>22</w:t>
    </w:r>
    <w:r>
      <w:fldChar w:fldCharType="end"/>
    </w:r>
  </w:p>
  <w:p w14:paraId="63E3A9D6">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9D44A">
    <w:pPr>
      <w:pStyle w:val="28"/>
      <w:tabs>
        <w:tab w:val="left" w:pos="9027"/>
      </w:tabs>
      <w:ind w:right="-18"/>
      <w:rPr>
        <w:rStyle w:val="46"/>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F9453">
    <w:pPr>
      <w:pStyle w:val="28"/>
      <w:framePr w:w="8359" w:h="616" w:hRule="exact" w:wrap="around" w:vAnchor="text" w:hAnchor="page" w:x="1798" w:y="-52"/>
      <w:tabs>
        <w:tab w:val="left" w:pos="9027"/>
      </w:tabs>
      <w:ind w:right="-18"/>
    </w:pPr>
    <w:r>
      <w:rPr>
        <w:rStyle w:val="46"/>
        <w:rFonts w:hint="eastAsia"/>
        <w:szCs w:val="21"/>
      </w:rPr>
      <w:t xml:space="preserve">开平市中医院 第 </w:t>
    </w:r>
    <w:r>
      <w:rPr>
        <w:szCs w:val="21"/>
      </w:rPr>
      <w:fldChar w:fldCharType="begin"/>
    </w:r>
    <w:r>
      <w:rPr>
        <w:rStyle w:val="46"/>
        <w:szCs w:val="21"/>
      </w:rPr>
      <w:instrText xml:space="preserve">PAGE   \* MERGEFORMAT</w:instrText>
    </w:r>
    <w:r>
      <w:rPr>
        <w:szCs w:val="21"/>
      </w:rPr>
      <w:fldChar w:fldCharType="separate"/>
    </w:r>
    <w:r>
      <w:rPr>
        <w:rStyle w:val="46"/>
        <w:szCs w:val="21"/>
        <w:lang w:val="zh-CN"/>
      </w:rPr>
      <w:t>12</w:t>
    </w:r>
    <w:r>
      <w:rPr>
        <w:szCs w:val="21"/>
      </w:rPr>
      <w:fldChar w:fldCharType="end"/>
    </w:r>
    <w:r>
      <w:rPr>
        <w:rStyle w:val="46"/>
        <w:rFonts w:hint="eastAsia"/>
        <w:szCs w:val="21"/>
      </w:rPr>
      <w:t xml:space="preserve"> 页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8F80F">
    <w:pPr>
      <w:pStyle w:val="28"/>
      <w:tabs>
        <w:tab w:val="left" w:pos="9027"/>
      </w:tabs>
      <w:ind w:right="-18"/>
      <w:rPr>
        <w:rStyle w:val="46"/>
        <w:szCs w:val="21"/>
      </w:rPr>
    </w:pPr>
  </w:p>
  <w:p w14:paraId="47E380B3">
    <w:pPr>
      <w:pStyle w:val="28"/>
      <w:tabs>
        <w:tab w:val="left" w:pos="9027"/>
      </w:tabs>
      <w:ind w:right="-18"/>
      <w:rPr>
        <w:rStyle w:val="46"/>
        <w:szCs w:val="21"/>
      </w:rPr>
    </w:pPr>
    <w:r>
      <w:rPr>
        <w:rStyle w:val="46"/>
        <w:rFonts w:hint="eastAsia"/>
        <w:szCs w:val="21"/>
      </w:rPr>
      <w:t xml:space="preserve">   深圳市合创建设工程顾问有限公司                                               第 </w:t>
    </w:r>
    <w:r>
      <w:rPr>
        <w:szCs w:val="21"/>
      </w:rPr>
      <w:fldChar w:fldCharType="begin"/>
    </w:r>
    <w:r>
      <w:rPr>
        <w:rStyle w:val="46"/>
        <w:szCs w:val="21"/>
      </w:rPr>
      <w:instrText xml:space="preserve">PAGE   \* MERGEFORMAT</w:instrText>
    </w:r>
    <w:r>
      <w:rPr>
        <w:szCs w:val="21"/>
      </w:rPr>
      <w:fldChar w:fldCharType="separate"/>
    </w:r>
    <w:r>
      <w:rPr>
        <w:rStyle w:val="46"/>
        <w:szCs w:val="21"/>
        <w:lang w:val="zh-CN"/>
      </w:rPr>
      <w:t>1</w:t>
    </w:r>
    <w:r>
      <w:rPr>
        <w:szCs w:val="21"/>
      </w:rPr>
      <w:fldChar w:fldCharType="end"/>
    </w:r>
    <w:r>
      <w:rPr>
        <w:rStyle w:val="46"/>
        <w:rFonts w:hint="eastAsia"/>
        <w:szCs w:val="21"/>
      </w:rPr>
      <w:t xml:space="preserve"> 页 共 45 页</w:t>
    </w:r>
  </w:p>
  <w:p w14:paraId="286655AA">
    <w:pPr>
      <w:rPr>
        <w:rStyle w:val="46"/>
        <w:szCs w:val="21"/>
      </w:rPr>
    </w:pPr>
  </w:p>
  <w:p w14:paraId="7637A41E">
    <w:pPr>
      <w:rPr>
        <w:rStyle w:val="46"/>
        <w:szCs w:val="21"/>
      </w:rPr>
    </w:pPr>
  </w:p>
  <w:p w14:paraId="5045AD28">
    <w:pPr>
      <w:rPr>
        <w:rStyle w:val="46"/>
        <w:szCs w:val="21"/>
      </w:rPr>
    </w:pPr>
  </w:p>
  <w:p w14:paraId="46E947CF">
    <w:pPr>
      <w:rPr>
        <w:rStyle w:val="46"/>
        <w:szCs w:val="21"/>
      </w:rPr>
    </w:pPr>
  </w:p>
  <w:p w14:paraId="0C78BC74">
    <w:pPr>
      <w:rPr>
        <w:rStyle w:val="46"/>
        <w:szCs w:val="21"/>
      </w:rPr>
    </w:pPr>
  </w:p>
  <w:p w14:paraId="5CD100AF">
    <w:pPr>
      <w:rPr>
        <w:rStyle w:val="46"/>
        <w:szCs w:val="21"/>
      </w:rPr>
    </w:pPr>
  </w:p>
  <w:p w14:paraId="26065307">
    <w:pPr>
      <w:rPr>
        <w:rStyle w:val="46"/>
        <w:szCs w:val="21"/>
      </w:rPr>
    </w:pPr>
  </w:p>
  <w:p w14:paraId="49D0D4D4">
    <w:pPr>
      <w:rPr>
        <w:rStyle w:val="46"/>
        <w:szCs w:val="21"/>
      </w:rPr>
    </w:pPr>
  </w:p>
  <w:p w14:paraId="1ADCC469">
    <w:pPr>
      <w:rPr>
        <w:rStyle w:val="46"/>
        <w:szCs w:val="21"/>
      </w:rPr>
    </w:pPr>
  </w:p>
  <w:p w14:paraId="4F7ACAFC"/>
  <w:p w14:paraId="62701AD1"/>
  <w:p w14:paraId="7CCFB080"/>
  <w:p w14:paraId="5DA8EA5E"/>
  <w:p w14:paraId="7DB3CA41"/>
  <w:p w14:paraId="69290643"/>
  <w:p w14:paraId="2389D3F1"/>
  <w:p w14:paraId="52EDADA1"/>
  <w:p w14:paraId="628FFB7E"/>
  <w:p w14:paraId="2A60F164"/>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5DB7D">
    <w:pPr>
      <w:ind w:left="7560" w:hanging="7560" w:hangingChars="4200"/>
      <w:jc w:val="left"/>
      <w:rPr>
        <w:rFonts w:ascii="宋体" w:hAnsi="宋体" w:eastAsia="宋体"/>
        <w:sz w:val="18"/>
        <w:szCs w:val="18"/>
      </w:rPr>
    </w:pPr>
    <w:r>
      <w:rPr>
        <w:rFonts w:hint="eastAsia" w:ascii="宋体" w:hAnsi="宋体" w:eastAsia="宋体"/>
        <w:sz w:val="18"/>
        <w:szCs w:val="18"/>
      </w:rPr>
      <w:t>项目名称：开平市中医院</w:t>
    </w:r>
    <w:r>
      <w:rPr>
        <w:rFonts w:hint="eastAsia" w:ascii="宋体" w:hAnsi="宋体" w:eastAsia="宋体"/>
        <w:sz w:val="18"/>
        <w:szCs w:val="18"/>
        <w:lang w:val="en-US" w:eastAsia="zh-CN"/>
      </w:rPr>
      <w:t>体检系统</w:t>
    </w:r>
    <w:r>
      <w:rPr>
        <w:rFonts w:hint="eastAsia" w:ascii="宋体" w:hAnsi="宋体" w:eastAsia="宋体"/>
        <w:sz w:val="18"/>
        <w:szCs w:val="18"/>
      </w:rPr>
      <w:t>采购项目遴选文件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B0D0E">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907E1">
    <w:pPr>
      <w:pStyle w:val="29"/>
    </w:pPr>
    <w:r>
      <w:rPr>
        <w:rFonts w:hint="eastAsia" w:hAnsi="宋体"/>
        <w:szCs w:val="21"/>
      </w:rPr>
      <w:t>采购编号：KPCG2019-000 赤坎新区技术审查与开发咨询服务                     竞争性遴选文件</w:t>
    </w:r>
  </w:p>
  <w:p w14:paraId="7DFD8396"/>
  <w:p w14:paraId="0F4473ED"/>
  <w:p w14:paraId="65B2110D"/>
  <w:p w14:paraId="24D7621D"/>
  <w:p w14:paraId="5F8E449B"/>
  <w:p w14:paraId="27259995"/>
  <w:p w14:paraId="7161121B"/>
  <w:p w14:paraId="50CADBF2"/>
  <w:p w14:paraId="58F0D01E"/>
  <w:p w14:paraId="51953904"/>
  <w:p w14:paraId="5AD4A58B"/>
  <w:p w14:paraId="3EF8129C"/>
  <w:p w14:paraId="17371995"/>
  <w:p w14:paraId="6A0B02AA"/>
  <w:p w14:paraId="695B6827"/>
  <w:p w14:paraId="7335BA7E"/>
  <w:p w14:paraId="149A4545"/>
  <w:p w14:paraId="73CB0631"/>
  <w:p w14:paraId="7B31791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094B54"/>
    <w:multiLevelType w:val="multilevel"/>
    <w:tmpl w:val="14094B54"/>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58394375"/>
    <w:multiLevelType w:val="multilevel"/>
    <w:tmpl w:val="58394375"/>
    <w:lvl w:ilvl="0" w:tentative="0">
      <w:start w:val="1"/>
      <w:numFmt w:val="japaneseCounting"/>
      <w:lvlText w:val="%1、"/>
      <w:lvlJc w:val="left"/>
      <w:pPr>
        <w:ind w:left="986" w:hanging="504"/>
      </w:pPr>
      <w:rPr>
        <w:rFonts w:hint="default"/>
        <w:b/>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50"/>
  <w:drawingGridVerticalSpacing w:val="20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UxNWNjMTVhZmQ1NDYzNDYyZmQxZDczNGYxNmJkYmQifQ=="/>
  </w:docVars>
  <w:rsids>
    <w:rsidRoot w:val="00CA653C"/>
    <w:rsid w:val="00000764"/>
    <w:rsid w:val="00000EA3"/>
    <w:rsid w:val="00000F03"/>
    <w:rsid w:val="000011B0"/>
    <w:rsid w:val="00001B58"/>
    <w:rsid w:val="00002114"/>
    <w:rsid w:val="000029BA"/>
    <w:rsid w:val="00002EEA"/>
    <w:rsid w:val="000030E6"/>
    <w:rsid w:val="00005AAD"/>
    <w:rsid w:val="00005F70"/>
    <w:rsid w:val="00006606"/>
    <w:rsid w:val="000067BA"/>
    <w:rsid w:val="00006C36"/>
    <w:rsid w:val="00007441"/>
    <w:rsid w:val="000076ED"/>
    <w:rsid w:val="00007A26"/>
    <w:rsid w:val="0001016F"/>
    <w:rsid w:val="00010574"/>
    <w:rsid w:val="00010C8E"/>
    <w:rsid w:val="000119B6"/>
    <w:rsid w:val="00011D56"/>
    <w:rsid w:val="00011F95"/>
    <w:rsid w:val="00012116"/>
    <w:rsid w:val="00012D00"/>
    <w:rsid w:val="000136B3"/>
    <w:rsid w:val="00013C91"/>
    <w:rsid w:val="00014035"/>
    <w:rsid w:val="0001421F"/>
    <w:rsid w:val="0001433B"/>
    <w:rsid w:val="00015011"/>
    <w:rsid w:val="0001504F"/>
    <w:rsid w:val="000151D1"/>
    <w:rsid w:val="00015671"/>
    <w:rsid w:val="000160DB"/>
    <w:rsid w:val="00016A3E"/>
    <w:rsid w:val="0001704C"/>
    <w:rsid w:val="0002065F"/>
    <w:rsid w:val="000214B2"/>
    <w:rsid w:val="00021591"/>
    <w:rsid w:val="00022912"/>
    <w:rsid w:val="00022E2E"/>
    <w:rsid w:val="0002302F"/>
    <w:rsid w:val="000238C7"/>
    <w:rsid w:val="00023C27"/>
    <w:rsid w:val="00023D41"/>
    <w:rsid w:val="00023DF8"/>
    <w:rsid w:val="000241B1"/>
    <w:rsid w:val="000241E4"/>
    <w:rsid w:val="0002425D"/>
    <w:rsid w:val="00024CA9"/>
    <w:rsid w:val="00025719"/>
    <w:rsid w:val="00025A13"/>
    <w:rsid w:val="00025DA1"/>
    <w:rsid w:val="00025E8A"/>
    <w:rsid w:val="0002704C"/>
    <w:rsid w:val="00027B0C"/>
    <w:rsid w:val="00027BA3"/>
    <w:rsid w:val="00027C34"/>
    <w:rsid w:val="000307A5"/>
    <w:rsid w:val="0003083B"/>
    <w:rsid w:val="00030A6F"/>
    <w:rsid w:val="00030C72"/>
    <w:rsid w:val="00030E1D"/>
    <w:rsid w:val="00030EEE"/>
    <w:rsid w:val="000311FB"/>
    <w:rsid w:val="00031221"/>
    <w:rsid w:val="00032054"/>
    <w:rsid w:val="000322CE"/>
    <w:rsid w:val="0003239A"/>
    <w:rsid w:val="00032871"/>
    <w:rsid w:val="00032B04"/>
    <w:rsid w:val="00032C8D"/>
    <w:rsid w:val="000334CB"/>
    <w:rsid w:val="000340B6"/>
    <w:rsid w:val="000341E2"/>
    <w:rsid w:val="000344A4"/>
    <w:rsid w:val="00034C1E"/>
    <w:rsid w:val="000350F2"/>
    <w:rsid w:val="00036041"/>
    <w:rsid w:val="00036243"/>
    <w:rsid w:val="00036B65"/>
    <w:rsid w:val="000378BA"/>
    <w:rsid w:val="00037EF9"/>
    <w:rsid w:val="000401CE"/>
    <w:rsid w:val="00040FA9"/>
    <w:rsid w:val="000411F0"/>
    <w:rsid w:val="0004134F"/>
    <w:rsid w:val="0004141C"/>
    <w:rsid w:val="0004155A"/>
    <w:rsid w:val="000417EB"/>
    <w:rsid w:val="00041AB7"/>
    <w:rsid w:val="00041D0E"/>
    <w:rsid w:val="00041F91"/>
    <w:rsid w:val="000425B4"/>
    <w:rsid w:val="000428D8"/>
    <w:rsid w:val="00042D92"/>
    <w:rsid w:val="00042F9B"/>
    <w:rsid w:val="0004361E"/>
    <w:rsid w:val="0004422C"/>
    <w:rsid w:val="000445BC"/>
    <w:rsid w:val="00044B6B"/>
    <w:rsid w:val="00045C51"/>
    <w:rsid w:val="00045FCF"/>
    <w:rsid w:val="00046124"/>
    <w:rsid w:val="0004630C"/>
    <w:rsid w:val="00046E87"/>
    <w:rsid w:val="00046F8B"/>
    <w:rsid w:val="00050493"/>
    <w:rsid w:val="00050DD6"/>
    <w:rsid w:val="00050E8F"/>
    <w:rsid w:val="00050F0E"/>
    <w:rsid w:val="000510BE"/>
    <w:rsid w:val="0005149E"/>
    <w:rsid w:val="000517AA"/>
    <w:rsid w:val="00051BCA"/>
    <w:rsid w:val="000526BB"/>
    <w:rsid w:val="000535A2"/>
    <w:rsid w:val="000536D2"/>
    <w:rsid w:val="00053DA5"/>
    <w:rsid w:val="00054741"/>
    <w:rsid w:val="000547CF"/>
    <w:rsid w:val="00054A6B"/>
    <w:rsid w:val="00055869"/>
    <w:rsid w:val="00055E1B"/>
    <w:rsid w:val="000562DE"/>
    <w:rsid w:val="000562EB"/>
    <w:rsid w:val="000564B6"/>
    <w:rsid w:val="00056C56"/>
    <w:rsid w:val="00056CBA"/>
    <w:rsid w:val="00060189"/>
    <w:rsid w:val="0006052B"/>
    <w:rsid w:val="000608A6"/>
    <w:rsid w:val="00060983"/>
    <w:rsid w:val="00060CF4"/>
    <w:rsid w:val="00061077"/>
    <w:rsid w:val="00062153"/>
    <w:rsid w:val="00062658"/>
    <w:rsid w:val="0006345F"/>
    <w:rsid w:val="00063CFC"/>
    <w:rsid w:val="000644DA"/>
    <w:rsid w:val="00064D1C"/>
    <w:rsid w:val="00065C95"/>
    <w:rsid w:val="00066109"/>
    <w:rsid w:val="00066BFA"/>
    <w:rsid w:val="0007044B"/>
    <w:rsid w:val="00070EAC"/>
    <w:rsid w:val="00070F3D"/>
    <w:rsid w:val="00071691"/>
    <w:rsid w:val="00071731"/>
    <w:rsid w:val="00071F04"/>
    <w:rsid w:val="000720B6"/>
    <w:rsid w:val="00072752"/>
    <w:rsid w:val="00072979"/>
    <w:rsid w:val="00072EA8"/>
    <w:rsid w:val="00072F0B"/>
    <w:rsid w:val="000732D4"/>
    <w:rsid w:val="000734CE"/>
    <w:rsid w:val="00073598"/>
    <w:rsid w:val="00073901"/>
    <w:rsid w:val="000745E4"/>
    <w:rsid w:val="000747D5"/>
    <w:rsid w:val="00074955"/>
    <w:rsid w:val="00074957"/>
    <w:rsid w:val="0007556B"/>
    <w:rsid w:val="000758D0"/>
    <w:rsid w:val="00075B8D"/>
    <w:rsid w:val="00076C27"/>
    <w:rsid w:val="00077C4C"/>
    <w:rsid w:val="00077CE8"/>
    <w:rsid w:val="00077FA4"/>
    <w:rsid w:val="00080612"/>
    <w:rsid w:val="000807EE"/>
    <w:rsid w:val="000808A2"/>
    <w:rsid w:val="000812D6"/>
    <w:rsid w:val="00083BFD"/>
    <w:rsid w:val="00083C69"/>
    <w:rsid w:val="00083CB6"/>
    <w:rsid w:val="00083E86"/>
    <w:rsid w:val="000841A0"/>
    <w:rsid w:val="00084B9F"/>
    <w:rsid w:val="000850BC"/>
    <w:rsid w:val="0008579C"/>
    <w:rsid w:val="00086E1B"/>
    <w:rsid w:val="000871E7"/>
    <w:rsid w:val="000879E2"/>
    <w:rsid w:val="00087C03"/>
    <w:rsid w:val="000907A8"/>
    <w:rsid w:val="00090BCB"/>
    <w:rsid w:val="00090EB1"/>
    <w:rsid w:val="00091E72"/>
    <w:rsid w:val="00092738"/>
    <w:rsid w:val="0009279E"/>
    <w:rsid w:val="00092EC9"/>
    <w:rsid w:val="00093F7D"/>
    <w:rsid w:val="00093F93"/>
    <w:rsid w:val="00094939"/>
    <w:rsid w:val="00094BC3"/>
    <w:rsid w:val="00094DA8"/>
    <w:rsid w:val="00094E1A"/>
    <w:rsid w:val="00095926"/>
    <w:rsid w:val="000961A5"/>
    <w:rsid w:val="00096A74"/>
    <w:rsid w:val="00096BE2"/>
    <w:rsid w:val="00096F3E"/>
    <w:rsid w:val="0009744D"/>
    <w:rsid w:val="0009771B"/>
    <w:rsid w:val="00097DBF"/>
    <w:rsid w:val="000A00E7"/>
    <w:rsid w:val="000A01A9"/>
    <w:rsid w:val="000A1686"/>
    <w:rsid w:val="000A1822"/>
    <w:rsid w:val="000A1C78"/>
    <w:rsid w:val="000A1E5C"/>
    <w:rsid w:val="000A2937"/>
    <w:rsid w:val="000A2A5C"/>
    <w:rsid w:val="000A2B2B"/>
    <w:rsid w:val="000A2E9E"/>
    <w:rsid w:val="000A2FED"/>
    <w:rsid w:val="000A312C"/>
    <w:rsid w:val="000A3FD9"/>
    <w:rsid w:val="000A4050"/>
    <w:rsid w:val="000A4259"/>
    <w:rsid w:val="000A4A34"/>
    <w:rsid w:val="000A53AE"/>
    <w:rsid w:val="000A587E"/>
    <w:rsid w:val="000A5A0C"/>
    <w:rsid w:val="000A61BB"/>
    <w:rsid w:val="000A6E36"/>
    <w:rsid w:val="000A6F47"/>
    <w:rsid w:val="000A7162"/>
    <w:rsid w:val="000A73BA"/>
    <w:rsid w:val="000A772E"/>
    <w:rsid w:val="000B0917"/>
    <w:rsid w:val="000B0A1D"/>
    <w:rsid w:val="000B0FE2"/>
    <w:rsid w:val="000B127D"/>
    <w:rsid w:val="000B1826"/>
    <w:rsid w:val="000B1AE1"/>
    <w:rsid w:val="000B1D27"/>
    <w:rsid w:val="000B215C"/>
    <w:rsid w:val="000B3451"/>
    <w:rsid w:val="000B3DDF"/>
    <w:rsid w:val="000B402F"/>
    <w:rsid w:val="000B40D8"/>
    <w:rsid w:val="000B4582"/>
    <w:rsid w:val="000B4949"/>
    <w:rsid w:val="000B49F5"/>
    <w:rsid w:val="000B4EAE"/>
    <w:rsid w:val="000B5013"/>
    <w:rsid w:val="000B5BAB"/>
    <w:rsid w:val="000B6289"/>
    <w:rsid w:val="000B689D"/>
    <w:rsid w:val="000C0626"/>
    <w:rsid w:val="000C0B07"/>
    <w:rsid w:val="000C0E3A"/>
    <w:rsid w:val="000C1CD1"/>
    <w:rsid w:val="000C1DC0"/>
    <w:rsid w:val="000C239D"/>
    <w:rsid w:val="000C2552"/>
    <w:rsid w:val="000C277B"/>
    <w:rsid w:val="000C3772"/>
    <w:rsid w:val="000C40D3"/>
    <w:rsid w:val="000C42F3"/>
    <w:rsid w:val="000C4B5F"/>
    <w:rsid w:val="000C6137"/>
    <w:rsid w:val="000C6B0E"/>
    <w:rsid w:val="000C6B59"/>
    <w:rsid w:val="000C734A"/>
    <w:rsid w:val="000C7A41"/>
    <w:rsid w:val="000C7BFE"/>
    <w:rsid w:val="000C7D7F"/>
    <w:rsid w:val="000C7FA3"/>
    <w:rsid w:val="000D0BD0"/>
    <w:rsid w:val="000D0DDD"/>
    <w:rsid w:val="000D1AE4"/>
    <w:rsid w:val="000D1B28"/>
    <w:rsid w:val="000D2041"/>
    <w:rsid w:val="000D2CA9"/>
    <w:rsid w:val="000D2E56"/>
    <w:rsid w:val="000D371E"/>
    <w:rsid w:val="000D385F"/>
    <w:rsid w:val="000D3F81"/>
    <w:rsid w:val="000D43E6"/>
    <w:rsid w:val="000D479E"/>
    <w:rsid w:val="000D481F"/>
    <w:rsid w:val="000D4994"/>
    <w:rsid w:val="000D49A4"/>
    <w:rsid w:val="000D5C9F"/>
    <w:rsid w:val="000D5D38"/>
    <w:rsid w:val="000D6029"/>
    <w:rsid w:val="000D60F3"/>
    <w:rsid w:val="000D61C5"/>
    <w:rsid w:val="000D6339"/>
    <w:rsid w:val="000D679A"/>
    <w:rsid w:val="000D6B57"/>
    <w:rsid w:val="000D6F36"/>
    <w:rsid w:val="000D7258"/>
    <w:rsid w:val="000D751B"/>
    <w:rsid w:val="000D75EE"/>
    <w:rsid w:val="000D7772"/>
    <w:rsid w:val="000D7B49"/>
    <w:rsid w:val="000D7CD2"/>
    <w:rsid w:val="000E0340"/>
    <w:rsid w:val="000E0E7B"/>
    <w:rsid w:val="000E18D2"/>
    <w:rsid w:val="000E1A4E"/>
    <w:rsid w:val="000E1ADA"/>
    <w:rsid w:val="000E2190"/>
    <w:rsid w:val="000E292F"/>
    <w:rsid w:val="000E2D16"/>
    <w:rsid w:val="000E2EF9"/>
    <w:rsid w:val="000E466A"/>
    <w:rsid w:val="000E4E20"/>
    <w:rsid w:val="000E4E8E"/>
    <w:rsid w:val="000E5028"/>
    <w:rsid w:val="000E550D"/>
    <w:rsid w:val="000E5A39"/>
    <w:rsid w:val="000E5CC4"/>
    <w:rsid w:val="000E5EF7"/>
    <w:rsid w:val="000E60F7"/>
    <w:rsid w:val="000F068D"/>
    <w:rsid w:val="000F0901"/>
    <w:rsid w:val="000F1963"/>
    <w:rsid w:val="000F1F17"/>
    <w:rsid w:val="000F2820"/>
    <w:rsid w:val="000F32F1"/>
    <w:rsid w:val="000F38A8"/>
    <w:rsid w:val="000F40AC"/>
    <w:rsid w:val="000F4456"/>
    <w:rsid w:val="000F44F6"/>
    <w:rsid w:val="000F5262"/>
    <w:rsid w:val="000F56B0"/>
    <w:rsid w:val="000F5832"/>
    <w:rsid w:val="000F5E35"/>
    <w:rsid w:val="000F6EF6"/>
    <w:rsid w:val="000F7789"/>
    <w:rsid w:val="000F7D01"/>
    <w:rsid w:val="0010004D"/>
    <w:rsid w:val="0010029C"/>
    <w:rsid w:val="00100D94"/>
    <w:rsid w:val="00101BA0"/>
    <w:rsid w:val="00101EE3"/>
    <w:rsid w:val="00102233"/>
    <w:rsid w:val="00102A2E"/>
    <w:rsid w:val="00102CAC"/>
    <w:rsid w:val="00103BC5"/>
    <w:rsid w:val="00103EC9"/>
    <w:rsid w:val="001046CF"/>
    <w:rsid w:val="001048FF"/>
    <w:rsid w:val="00104B0D"/>
    <w:rsid w:val="00104F7D"/>
    <w:rsid w:val="00104FA9"/>
    <w:rsid w:val="001052D8"/>
    <w:rsid w:val="0010551A"/>
    <w:rsid w:val="00105B00"/>
    <w:rsid w:val="00105F5B"/>
    <w:rsid w:val="001064E6"/>
    <w:rsid w:val="0010660F"/>
    <w:rsid w:val="00106C89"/>
    <w:rsid w:val="00107E22"/>
    <w:rsid w:val="00107F17"/>
    <w:rsid w:val="00110408"/>
    <w:rsid w:val="00111013"/>
    <w:rsid w:val="00111AD8"/>
    <w:rsid w:val="00111E99"/>
    <w:rsid w:val="001121A6"/>
    <w:rsid w:val="0011242E"/>
    <w:rsid w:val="00112BBF"/>
    <w:rsid w:val="00112DA9"/>
    <w:rsid w:val="001131B4"/>
    <w:rsid w:val="00113C0B"/>
    <w:rsid w:val="00113EC7"/>
    <w:rsid w:val="00113EE5"/>
    <w:rsid w:val="00113F8D"/>
    <w:rsid w:val="001143EA"/>
    <w:rsid w:val="0011455D"/>
    <w:rsid w:val="00114D50"/>
    <w:rsid w:val="00115A85"/>
    <w:rsid w:val="00116EC6"/>
    <w:rsid w:val="00120207"/>
    <w:rsid w:val="00120DC9"/>
    <w:rsid w:val="00121B8B"/>
    <w:rsid w:val="00121FBF"/>
    <w:rsid w:val="00121FEB"/>
    <w:rsid w:val="00122285"/>
    <w:rsid w:val="001227AC"/>
    <w:rsid w:val="00122B1E"/>
    <w:rsid w:val="00122B79"/>
    <w:rsid w:val="00122DB6"/>
    <w:rsid w:val="0012385D"/>
    <w:rsid w:val="00123968"/>
    <w:rsid w:val="00123ABA"/>
    <w:rsid w:val="00124361"/>
    <w:rsid w:val="00124EBB"/>
    <w:rsid w:val="001258FD"/>
    <w:rsid w:val="00126221"/>
    <w:rsid w:val="0012644A"/>
    <w:rsid w:val="001265D4"/>
    <w:rsid w:val="001305DE"/>
    <w:rsid w:val="00130AFD"/>
    <w:rsid w:val="00130EDF"/>
    <w:rsid w:val="0013109C"/>
    <w:rsid w:val="0013140C"/>
    <w:rsid w:val="0013166A"/>
    <w:rsid w:val="00131C7E"/>
    <w:rsid w:val="001321A0"/>
    <w:rsid w:val="00132212"/>
    <w:rsid w:val="00132296"/>
    <w:rsid w:val="00132AC6"/>
    <w:rsid w:val="00132BAC"/>
    <w:rsid w:val="00133121"/>
    <w:rsid w:val="0013327E"/>
    <w:rsid w:val="00134386"/>
    <w:rsid w:val="001347FE"/>
    <w:rsid w:val="00135F30"/>
    <w:rsid w:val="001361B3"/>
    <w:rsid w:val="00136329"/>
    <w:rsid w:val="001363DF"/>
    <w:rsid w:val="001365B0"/>
    <w:rsid w:val="00136A75"/>
    <w:rsid w:val="00136DA8"/>
    <w:rsid w:val="00137A9D"/>
    <w:rsid w:val="00140926"/>
    <w:rsid w:val="00140F23"/>
    <w:rsid w:val="0014111D"/>
    <w:rsid w:val="001413CA"/>
    <w:rsid w:val="00141626"/>
    <w:rsid w:val="001427A1"/>
    <w:rsid w:val="00142DB7"/>
    <w:rsid w:val="00143137"/>
    <w:rsid w:val="0014372E"/>
    <w:rsid w:val="0014392D"/>
    <w:rsid w:val="0014392F"/>
    <w:rsid w:val="00143938"/>
    <w:rsid w:val="00144060"/>
    <w:rsid w:val="0014490D"/>
    <w:rsid w:val="00144B1C"/>
    <w:rsid w:val="001452FE"/>
    <w:rsid w:val="0014567E"/>
    <w:rsid w:val="00145821"/>
    <w:rsid w:val="001459D0"/>
    <w:rsid w:val="001464C4"/>
    <w:rsid w:val="0014650F"/>
    <w:rsid w:val="0014750F"/>
    <w:rsid w:val="00147552"/>
    <w:rsid w:val="001475AD"/>
    <w:rsid w:val="00147D4B"/>
    <w:rsid w:val="001500F7"/>
    <w:rsid w:val="001502F5"/>
    <w:rsid w:val="00150C88"/>
    <w:rsid w:val="00150E41"/>
    <w:rsid w:val="00150F59"/>
    <w:rsid w:val="0015140B"/>
    <w:rsid w:val="00151A2D"/>
    <w:rsid w:val="00153942"/>
    <w:rsid w:val="00154099"/>
    <w:rsid w:val="00154C28"/>
    <w:rsid w:val="00155DEF"/>
    <w:rsid w:val="00155F0D"/>
    <w:rsid w:val="001562F7"/>
    <w:rsid w:val="00160511"/>
    <w:rsid w:val="00161080"/>
    <w:rsid w:val="00161306"/>
    <w:rsid w:val="001613C5"/>
    <w:rsid w:val="0016148D"/>
    <w:rsid w:val="00161C89"/>
    <w:rsid w:val="00161F7F"/>
    <w:rsid w:val="00162A45"/>
    <w:rsid w:val="00162CA9"/>
    <w:rsid w:val="001638BE"/>
    <w:rsid w:val="0016420A"/>
    <w:rsid w:val="00164A0B"/>
    <w:rsid w:val="00164BF9"/>
    <w:rsid w:val="00165386"/>
    <w:rsid w:val="001657BA"/>
    <w:rsid w:val="00165911"/>
    <w:rsid w:val="00165AA6"/>
    <w:rsid w:val="00165C8E"/>
    <w:rsid w:val="001664E8"/>
    <w:rsid w:val="00166A53"/>
    <w:rsid w:val="001673D6"/>
    <w:rsid w:val="0016794C"/>
    <w:rsid w:val="00167B51"/>
    <w:rsid w:val="00167BCB"/>
    <w:rsid w:val="00170049"/>
    <w:rsid w:val="0017022B"/>
    <w:rsid w:val="001702D4"/>
    <w:rsid w:val="0017046B"/>
    <w:rsid w:val="00170478"/>
    <w:rsid w:val="001705D1"/>
    <w:rsid w:val="00170EDA"/>
    <w:rsid w:val="00171873"/>
    <w:rsid w:val="00171C5C"/>
    <w:rsid w:val="00171F39"/>
    <w:rsid w:val="00171F3F"/>
    <w:rsid w:val="001723E8"/>
    <w:rsid w:val="00172890"/>
    <w:rsid w:val="001729C2"/>
    <w:rsid w:val="00172A0F"/>
    <w:rsid w:val="00172B6E"/>
    <w:rsid w:val="00172BBC"/>
    <w:rsid w:val="00172BC8"/>
    <w:rsid w:val="00173AEB"/>
    <w:rsid w:val="00173BC0"/>
    <w:rsid w:val="0017486D"/>
    <w:rsid w:val="001749B6"/>
    <w:rsid w:val="00175553"/>
    <w:rsid w:val="001755EA"/>
    <w:rsid w:val="001761E0"/>
    <w:rsid w:val="001769F2"/>
    <w:rsid w:val="00176A9E"/>
    <w:rsid w:val="00176B60"/>
    <w:rsid w:val="00176C31"/>
    <w:rsid w:val="00176DBA"/>
    <w:rsid w:val="0017768E"/>
    <w:rsid w:val="00177A9F"/>
    <w:rsid w:val="0018003E"/>
    <w:rsid w:val="0018068A"/>
    <w:rsid w:val="00181021"/>
    <w:rsid w:val="00181035"/>
    <w:rsid w:val="0018126D"/>
    <w:rsid w:val="00181584"/>
    <w:rsid w:val="00181888"/>
    <w:rsid w:val="00181A33"/>
    <w:rsid w:val="00183281"/>
    <w:rsid w:val="001832B7"/>
    <w:rsid w:val="001835BC"/>
    <w:rsid w:val="0018409F"/>
    <w:rsid w:val="001843C6"/>
    <w:rsid w:val="001846A6"/>
    <w:rsid w:val="001849A8"/>
    <w:rsid w:val="00185DE6"/>
    <w:rsid w:val="00185F71"/>
    <w:rsid w:val="0018684E"/>
    <w:rsid w:val="00186CC0"/>
    <w:rsid w:val="00187178"/>
    <w:rsid w:val="0018732B"/>
    <w:rsid w:val="0018744D"/>
    <w:rsid w:val="0018749E"/>
    <w:rsid w:val="00187A2E"/>
    <w:rsid w:val="00187A35"/>
    <w:rsid w:val="00187FD8"/>
    <w:rsid w:val="00190A95"/>
    <w:rsid w:val="00190E7F"/>
    <w:rsid w:val="00191301"/>
    <w:rsid w:val="00191628"/>
    <w:rsid w:val="0019184C"/>
    <w:rsid w:val="00191A2B"/>
    <w:rsid w:val="00191CCF"/>
    <w:rsid w:val="00192D3D"/>
    <w:rsid w:val="00193199"/>
    <w:rsid w:val="00193590"/>
    <w:rsid w:val="0019416B"/>
    <w:rsid w:val="00194BBA"/>
    <w:rsid w:val="00194CB8"/>
    <w:rsid w:val="00194CD0"/>
    <w:rsid w:val="00194F3F"/>
    <w:rsid w:val="001952B2"/>
    <w:rsid w:val="0019536F"/>
    <w:rsid w:val="001958CA"/>
    <w:rsid w:val="001962E3"/>
    <w:rsid w:val="00196FC6"/>
    <w:rsid w:val="0019781F"/>
    <w:rsid w:val="00197D3C"/>
    <w:rsid w:val="001A0120"/>
    <w:rsid w:val="001A06A7"/>
    <w:rsid w:val="001A15F2"/>
    <w:rsid w:val="001A1925"/>
    <w:rsid w:val="001A1B2C"/>
    <w:rsid w:val="001A2474"/>
    <w:rsid w:val="001A2F6D"/>
    <w:rsid w:val="001A30C6"/>
    <w:rsid w:val="001A3A18"/>
    <w:rsid w:val="001A41A0"/>
    <w:rsid w:val="001A47B0"/>
    <w:rsid w:val="001A497E"/>
    <w:rsid w:val="001A4AF6"/>
    <w:rsid w:val="001A4F65"/>
    <w:rsid w:val="001A539F"/>
    <w:rsid w:val="001A5E38"/>
    <w:rsid w:val="001A5FC0"/>
    <w:rsid w:val="001A60B2"/>
    <w:rsid w:val="001A717C"/>
    <w:rsid w:val="001A7924"/>
    <w:rsid w:val="001A7A5B"/>
    <w:rsid w:val="001A7BDE"/>
    <w:rsid w:val="001B0055"/>
    <w:rsid w:val="001B0472"/>
    <w:rsid w:val="001B04D6"/>
    <w:rsid w:val="001B0F1E"/>
    <w:rsid w:val="001B101B"/>
    <w:rsid w:val="001B1539"/>
    <w:rsid w:val="001B1A3F"/>
    <w:rsid w:val="001B1B9A"/>
    <w:rsid w:val="001B1F45"/>
    <w:rsid w:val="001B255C"/>
    <w:rsid w:val="001B25FF"/>
    <w:rsid w:val="001B2CFB"/>
    <w:rsid w:val="001B2E2C"/>
    <w:rsid w:val="001B38FF"/>
    <w:rsid w:val="001B3C1A"/>
    <w:rsid w:val="001B402B"/>
    <w:rsid w:val="001B4277"/>
    <w:rsid w:val="001B50B1"/>
    <w:rsid w:val="001B527F"/>
    <w:rsid w:val="001B52E8"/>
    <w:rsid w:val="001B556B"/>
    <w:rsid w:val="001B6CE7"/>
    <w:rsid w:val="001B7103"/>
    <w:rsid w:val="001B717E"/>
    <w:rsid w:val="001B7DBA"/>
    <w:rsid w:val="001C0D44"/>
    <w:rsid w:val="001C1146"/>
    <w:rsid w:val="001C14A4"/>
    <w:rsid w:val="001C1D13"/>
    <w:rsid w:val="001C20E0"/>
    <w:rsid w:val="001C287F"/>
    <w:rsid w:val="001C397A"/>
    <w:rsid w:val="001C3BD1"/>
    <w:rsid w:val="001C45E2"/>
    <w:rsid w:val="001C4993"/>
    <w:rsid w:val="001C4A6B"/>
    <w:rsid w:val="001C5499"/>
    <w:rsid w:val="001C58C0"/>
    <w:rsid w:val="001C5CF2"/>
    <w:rsid w:val="001C6505"/>
    <w:rsid w:val="001C657E"/>
    <w:rsid w:val="001C6595"/>
    <w:rsid w:val="001C664F"/>
    <w:rsid w:val="001C6710"/>
    <w:rsid w:val="001C7342"/>
    <w:rsid w:val="001C753C"/>
    <w:rsid w:val="001C789D"/>
    <w:rsid w:val="001D0393"/>
    <w:rsid w:val="001D047B"/>
    <w:rsid w:val="001D0980"/>
    <w:rsid w:val="001D0DD5"/>
    <w:rsid w:val="001D0E8E"/>
    <w:rsid w:val="001D0EBA"/>
    <w:rsid w:val="001D0F33"/>
    <w:rsid w:val="001D0FAC"/>
    <w:rsid w:val="001D15BA"/>
    <w:rsid w:val="001D1F34"/>
    <w:rsid w:val="001D245B"/>
    <w:rsid w:val="001D255C"/>
    <w:rsid w:val="001D281D"/>
    <w:rsid w:val="001D2988"/>
    <w:rsid w:val="001D2EA9"/>
    <w:rsid w:val="001D3300"/>
    <w:rsid w:val="001D3AA2"/>
    <w:rsid w:val="001D4018"/>
    <w:rsid w:val="001D4795"/>
    <w:rsid w:val="001D4937"/>
    <w:rsid w:val="001D572D"/>
    <w:rsid w:val="001D6535"/>
    <w:rsid w:val="001D7137"/>
    <w:rsid w:val="001D7B0E"/>
    <w:rsid w:val="001D7C18"/>
    <w:rsid w:val="001D7ED5"/>
    <w:rsid w:val="001E0302"/>
    <w:rsid w:val="001E065E"/>
    <w:rsid w:val="001E0D5F"/>
    <w:rsid w:val="001E0DD9"/>
    <w:rsid w:val="001E0FE5"/>
    <w:rsid w:val="001E1CDC"/>
    <w:rsid w:val="001E1E72"/>
    <w:rsid w:val="001E24F3"/>
    <w:rsid w:val="001E2CEA"/>
    <w:rsid w:val="001E3003"/>
    <w:rsid w:val="001E3005"/>
    <w:rsid w:val="001E348C"/>
    <w:rsid w:val="001E38A0"/>
    <w:rsid w:val="001E41AF"/>
    <w:rsid w:val="001E44B8"/>
    <w:rsid w:val="001E5196"/>
    <w:rsid w:val="001E5216"/>
    <w:rsid w:val="001E5956"/>
    <w:rsid w:val="001E659F"/>
    <w:rsid w:val="001E65E5"/>
    <w:rsid w:val="001E68C6"/>
    <w:rsid w:val="001E6F60"/>
    <w:rsid w:val="001E7243"/>
    <w:rsid w:val="001E7423"/>
    <w:rsid w:val="001E7542"/>
    <w:rsid w:val="001E7667"/>
    <w:rsid w:val="001E76E9"/>
    <w:rsid w:val="001E7C61"/>
    <w:rsid w:val="001E7EBB"/>
    <w:rsid w:val="001F034F"/>
    <w:rsid w:val="001F09E8"/>
    <w:rsid w:val="001F0DFF"/>
    <w:rsid w:val="001F1025"/>
    <w:rsid w:val="001F10F3"/>
    <w:rsid w:val="001F1545"/>
    <w:rsid w:val="001F1616"/>
    <w:rsid w:val="001F16F8"/>
    <w:rsid w:val="001F1CBA"/>
    <w:rsid w:val="001F2C81"/>
    <w:rsid w:val="001F2E96"/>
    <w:rsid w:val="001F3376"/>
    <w:rsid w:val="001F3460"/>
    <w:rsid w:val="001F4000"/>
    <w:rsid w:val="001F4363"/>
    <w:rsid w:val="001F45BA"/>
    <w:rsid w:val="001F4A4F"/>
    <w:rsid w:val="001F4AA9"/>
    <w:rsid w:val="001F5999"/>
    <w:rsid w:val="001F6739"/>
    <w:rsid w:val="001F6853"/>
    <w:rsid w:val="001F73BD"/>
    <w:rsid w:val="001F789D"/>
    <w:rsid w:val="00200079"/>
    <w:rsid w:val="0020069D"/>
    <w:rsid w:val="00200A42"/>
    <w:rsid w:val="00200B08"/>
    <w:rsid w:val="00200D62"/>
    <w:rsid w:val="002012DB"/>
    <w:rsid w:val="002012E5"/>
    <w:rsid w:val="00201394"/>
    <w:rsid w:val="00201639"/>
    <w:rsid w:val="00201A0C"/>
    <w:rsid w:val="00201EC8"/>
    <w:rsid w:val="002025EE"/>
    <w:rsid w:val="002029BA"/>
    <w:rsid w:val="00202EEC"/>
    <w:rsid w:val="00202FFD"/>
    <w:rsid w:val="00203207"/>
    <w:rsid w:val="002032C8"/>
    <w:rsid w:val="002033B7"/>
    <w:rsid w:val="00203402"/>
    <w:rsid w:val="00203524"/>
    <w:rsid w:val="002035A2"/>
    <w:rsid w:val="002035E2"/>
    <w:rsid w:val="002039A6"/>
    <w:rsid w:val="0020416A"/>
    <w:rsid w:val="00206114"/>
    <w:rsid w:val="00206A9E"/>
    <w:rsid w:val="00206B90"/>
    <w:rsid w:val="00207370"/>
    <w:rsid w:val="00207B1F"/>
    <w:rsid w:val="00207C8D"/>
    <w:rsid w:val="00210BC5"/>
    <w:rsid w:val="00210D1E"/>
    <w:rsid w:val="00211B71"/>
    <w:rsid w:val="00211BA3"/>
    <w:rsid w:val="002122BE"/>
    <w:rsid w:val="002123B0"/>
    <w:rsid w:val="0021265B"/>
    <w:rsid w:val="00212721"/>
    <w:rsid w:val="00212AC5"/>
    <w:rsid w:val="00212FF8"/>
    <w:rsid w:val="00213178"/>
    <w:rsid w:val="00213917"/>
    <w:rsid w:val="00213DD5"/>
    <w:rsid w:val="00213E4E"/>
    <w:rsid w:val="00214352"/>
    <w:rsid w:val="00214626"/>
    <w:rsid w:val="002148E2"/>
    <w:rsid w:val="002156F4"/>
    <w:rsid w:val="00215A73"/>
    <w:rsid w:val="00215AC6"/>
    <w:rsid w:val="00216218"/>
    <w:rsid w:val="00216372"/>
    <w:rsid w:val="00216FA3"/>
    <w:rsid w:val="00217129"/>
    <w:rsid w:val="002171E1"/>
    <w:rsid w:val="002175CA"/>
    <w:rsid w:val="0021765D"/>
    <w:rsid w:val="00217867"/>
    <w:rsid w:val="002200E5"/>
    <w:rsid w:val="0022015D"/>
    <w:rsid w:val="0022023F"/>
    <w:rsid w:val="002208EF"/>
    <w:rsid w:val="0022122C"/>
    <w:rsid w:val="00221B0B"/>
    <w:rsid w:val="00222476"/>
    <w:rsid w:val="00222498"/>
    <w:rsid w:val="0022295B"/>
    <w:rsid w:val="0022315C"/>
    <w:rsid w:val="00223270"/>
    <w:rsid w:val="002234F2"/>
    <w:rsid w:val="002239ED"/>
    <w:rsid w:val="002242F7"/>
    <w:rsid w:val="00224527"/>
    <w:rsid w:val="002251AB"/>
    <w:rsid w:val="00225D0F"/>
    <w:rsid w:val="00225F24"/>
    <w:rsid w:val="0022616D"/>
    <w:rsid w:val="0022638A"/>
    <w:rsid w:val="00226517"/>
    <w:rsid w:val="002278FD"/>
    <w:rsid w:val="00227C6E"/>
    <w:rsid w:val="00230301"/>
    <w:rsid w:val="00230941"/>
    <w:rsid w:val="00230DB1"/>
    <w:rsid w:val="00230FAF"/>
    <w:rsid w:val="00232038"/>
    <w:rsid w:val="00232761"/>
    <w:rsid w:val="00232D20"/>
    <w:rsid w:val="0023341B"/>
    <w:rsid w:val="002339AF"/>
    <w:rsid w:val="00234755"/>
    <w:rsid w:val="00235400"/>
    <w:rsid w:val="00235758"/>
    <w:rsid w:val="0023581F"/>
    <w:rsid w:val="00236185"/>
    <w:rsid w:val="00236991"/>
    <w:rsid w:val="00236EE4"/>
    <w:rsid w:val="00237123"/>
    <w:rsid w:val="00237304"/>
    <w:rsid w:val="00237713"/>
    <w:rsid w:val="00237772"/>
    <w:rsid w:val="002378D7"/>
    <w:rsid w:val="00237C6F"/>
    <w:rsid w:val="00237F88"/>
    <w:rsid w:val="00240143"/>
    <w:rsid w:val="00240F64"/>
    <w:rsid w:val="00241240"/>
    <w:rsid w:val="002413BB"/>
    <w:rsid w:val="002416DC"/>
    <w:rsid w:val="002416EC"/>
    <w:rsid w:val="00241A18"/>
    <w:rsid w:val="0024293C"/>
    <w:rsid w:val="00242E29"/>
    <w:rsid w:val="00242F07"/>
    <w:rsid w:val="0024355B"/>
    <w:rsid w:val="00243A52"/>
    <w:rsid w:val="00243AD2"/>
    <w:rsid w:val="00244374"/>
    <w:rsid w:val="002449A0"/>
    <w:rsid w:val="00246342"/>
    <w:rsid w:val="002463EE"/>
    <w:rsid w:val="00246C26"/>
    <w:rsid w:val="0024702D"/>
    <w:rsid w:val="00247612"/>
    <w:rsid w:val="002477EA"/>
    <w:rsid w:val="00247B59"/>
    <w:rsid w:val="0025002D"/>
    <w:rsid w:val="002500AA"/>
    <w:rsid w:val="00250CE5"/>
    <w:rsid w:val="00250ECF"/>
    <w:rsid w:val="00251501"/>
    <w:rsid w:val="00251ADD"/>
    <w:rsid w:val="002528A4"/>
    <w:rsid w:val="00252AE9"/>
    <w:rsid w:val="00253A66"/>
    <w:rsid w:val="00253E2E"/>
    <w:rsid w:val="00253E50"/>
    <w:rsid w:val="00253F2E"/>
    <w:rsid w:val="002547D7"/>
    <w:rsid w:val="00254DC3"/>
    <w:rsid w:val="00255EF3"/>
    <w:rsid w:val="0025663E"/>
    <w:rsid w:val="00257640"/>
    <w:rsid w:val="00257A10"/>
    <w:rsid w:val="0026068E"/>
    <w:rsid w:val="0026093D"/>
    <w:rsid w:val="00260C02"/>
    <w:rsid w:val="00260D02"/>
    <w:rsid w:val="002614BB"/>
    <w:rsid w:val="0026217D"/>
    <w:rsid w:val="00262989"/>
    <w:rsid w:val="00262E3D"/>
    <w:rsid w:val="00263B65"/>
    <w:rsid w:val="00263C39"/>
    <w:rsid w:val="00263C90"/>
    <w:rsid w:val="00263E30"/>
    <w:rsid w:val="002649DA"/>
    <w:rsid w:val="00264CEB"/>
    <w:rsid w:val="00265F44"/>
    <w:rsid w:val="0026606D"/>
    <w:rsid w:val="00266DDE"/>
    <w:rsid w:val="0026703B"/>
    <w:rsid w:val="00267B3C"/>
    <w:rsid w:val="00270B1A"/>
    <w:rsid w:val="00270BA2"/>
    <w:rsid w:val="0027106C"/>
    <w:rsid w:val="002717AB"/>
    <w:rsid w:val="00271E39"/>
    <w:rsid w:val="00272708"/>
    <w:rsid w:val="00273815"/>
    <w:rsid w:val="00273955"/>
    <w:rsid w:val="00274342"/>
    <w:rsid w:val="002743D1"/>
    <w:rsid w:val="00274406"/>
    <w:rsid w:val="00274A09"/>
    <w:rsid w:val="0027532E"/>
    <w:rsid w:val="00275C76"/>
    <w:rsid w:val="00275E0C"/>
    <w:rsid w:val="00276682"/>
    <w:rsid w:val="00276A07"/>
    <w:rsid w:val="0027724E"/>
    <w:rsid w:val="002773D2"/>
    <w:rsid w:val="00277E17"/>
    <w:rsid w:val="002801E1"/>
    <w:rsid w:val="00280306"/>
    <w:rsid w:val="00280914"/>
    <w:rsid w:val="00280DDE"/>
    <w:rsid w:val="00280EE8"/>
    <w:rsid w:val="002811DA"/>
    <w:rsid w:val="0028157A"/>
    <w:rsid w:val="00281F01"/>
    <w:rsid w:val="0028204A"/>
    <w:rsid w:val="00282132"/>
    <w:rsid w:val="00282E9C"/>
    <w:rsid w:val="00283766"/>
    <w:rsid w:val="00283B39"/>
    <w:rsid w:val="00284138"/>
    <w:rsid w:val="002842DB"/>
    <w:rsid w:val="002843B9"/>
    <w:rsid w:val="002847BE"/>
    <w:rsid w:val="00284A50"/>
    <w:rsid w:val="00284CB7"/>
    <w:rsid w:val="002853E0"/>
    <w:rsid w:val="00285551"/>
    <w:rsid w:val="00285894"/>
    <w:rsid w:val="00286920"/>
    <w:rsid w:val="00286A47"/>
    <w:rsid w:val="0028708A"/>
    <w:rsid w:val="0028744A"/>
    <w:rsid w:val="0028752E"/>
    <w:rsid w:val="00287A04"/>
    <w:rsid w:val="00287B64"/>
    <w:rsid w:val="00290010"/>
    <w:rsid w:val="00290154"/>
    <w:rsid w:val="00290359"/>
    <w:rsid w:val="00290D25"/>
    <w:rsid w:val="00290F7A"/>
    <w:rsid w:val="002910AD"/>
    <w:rsid w:val="0029148E"/>
    <w:rsid w:val="00291808"/>
    <w:rsid w:val="002923DA"/>
    <w:rsid w:val="00292C99"/>
    <w:rsid w:val="00292CC9"/>
    <w:rsid w:val="00292D33"/>
    <w:rsid w:val="0029441D"/>
    <w:rsid w:val="002947A9"/>
    <w:rsid w:val="002951D6"/>
    <w:rsid w:val="00296472"/>
    <w:rsid w:val="00297331"/>
    <w:rsid w:val="0029790A"/>
    <w:rsid w:val="00297B3F"/>
    <w:rsid w:val="00297C79"/>
    <w:rsid w:val="00297FE2"/>
    <w:rsid w:val="002A002D"/>
    <w:rsid w:val="002A0154"/>
    <w:rsid w:val="002A0199"/>
    <w:rsid w:val="002A05D3"/>
    <w:rsid w:val="002A0F3C"/>
    <w:rsid w:val="002A239A"/>
    <w:rsid w:val="002A2AAD"/>
    <w:rsid w:val="002A2BEF"/>
    <w:rsid w:val="002A2F4F"/>
    <w:rsid w:val="002A2FCC"/>
    <w:rsid w:val="002A34F3"/>
    <w:rsid w:val="002A354B"/>
    <w:rsid w:val="002A3ED5"/>
    <w:rsid w:val="002A4020"/>
    <w:rsid w:val="002A4166"/>
    <w:rsid w:val="002A4920"/>
    <w:rsid w:val="002A4BCE"/>
    <w:rsid w:val="002A4CB3"/>
    <w:rsid w:val="002A54DC"/>
    <w:rsid w:val="002A5CD3"/>
    <w:rsid w:val="002A6CEE"/>
    <w:rsid w:val="002A6D2E"/>
    <w:rsid w:val="002A6DFD"/>
    <w:rsid w:val="002A7A22"/>
    <w:rsid w:val="002A7D1C"/>
    <w:rsid w:val="002B0085"/>
    <w:rsid w:val="002B0133"/>
    <w:rsid w:val="002B05AF"/>
    <w:rsid w:val="002B07BC"/>
    <w:rsid w:val="002B0800"/>
    <w:rsid w:val="002B095F"/>
    <w:rsid w:val="002B11D3"/>
    <w:rsid w:val="002B139D"/>
    <w:rsid w:val="002B1CF9"/>
    <w:rsid w:val="002B1E2A"/>
    <w:rsid w:val="002B1E67"/>
    <w:rsid w:val="002B20F2"/>
    <w:rsid w:val="002B2717"/>
    <w:rsid w:val="002B31C3"/>
    <w:rsid w:val="002B3281"/>
    <w:rsid w:val="002B3C5C"/>
    <w:rsid w:val="002B3E14"/>
    <w:rsid w:val="002B429E"/>
    <w:rsid w:val="002B5136"/>
    <w:rsid w:val="002B54D4"/>
    <w:rsid w:val="002B5750"/>
    <w:rsid w:val="002B59ED"/>
    <w:rsid w:val="002B5DD0"/>
    <w:rsid w:val="002B613F"/>
    <w:rsid w:val="002B6AD4"/>
    <w:rsid w:val="002B6CE0"/>
    <w:rsid w:val="002B6FD1"/>
    <w:rsid w:val="002B745F"/>
    <w:rsid w:val="002B7830"/>
    <w:rsid w:val="002B7E4D"/>
    <w:rsid w:val="002C0D98"/>
    <w:rsid w:val="002C1187"/>
    <w:rsid w:val="002C1F5A"/>
    <w:rsid w:val="002C2416"/>
    <w:rsid w:val="002C2B84"/>
    <w:rsid w:val="002C2E38"/>
    <w:rsid w:val="002C3B19"/>
    <w:rsid w:val="002C3C99"/>
    <w:rsid w:val="002C3EC8"/>
    <w:rsid w:val="002C421B"/>
    <w:rsid w:val="002C4252"/>
    <w:rsid w:val="002C44C3"/>
    <w:rsid w:val="002C4585"/>
    <w:rsid w:val="002C45CD"/>
    <w:rsid w:val="002C45EF"/>
    <w:rsid w:val="002C4705"/>
    <w:rsid w:val="002C5734"/>
    <w:rsid w:val="002C6512"/>
    <w:rsid w:val="002C7A7C"/>
    <w:rsid w:val="002C7AD2"/>
    <w:rsid w:val="002D0954"/>
    <w:rsid w:val="002D23CA"/>
    <w:rsid w:val="002D262A"/>
    <w:rsid w:val="002D2865"/>
    <w:rsid w:val="002D2D80"/>
    <w:rsid w:val="002D2EE3"/>
    <w:rsid w:val="002D2F7C"/>
    <w:rsid w:val="002D33D7"/>
    <w:rsid w:val="002D3CE4"/>
    <w:rsid w:val="002D440F"/>
    <w:rsid w:val="002D5046"/>
    <w:rsid w:val="002D531A"/>
    <w:rsid w:val="002D5617"/>
    <w:rsid w:val="002D587C"/>
    <w:rsid w:val="002D60D7"/>
    <w:rsid w:val="002D68B3"/>
    <w:rsid w:val="002D7056"/>
    <w:rsid w:val="002D72DE"/>
    <w:rsid w:val="002D74EB"/>
    <w:rsid w:val="002D7D97"/>
    <w:rsid w:val="002E0749"/>
    <w:rsid w:val="002E0856"/>
    <w:rsid w:val="002E0983"/>
    <w:rsid w:val="002E0D4F"/>
    <w:rsid w:val="002E1BC6"/>
    <w:rsid w:val="002E1D42"/>
    <w:rsid w:val="002E1D69"/>
    <w:rsid w:val="002E1DF8"/>
    <w:rsid w:val="002E2639"/>
    <w:rsid w:val="002E2695"/>
    <w:rsid w:val="002E358B"/>
    <w:rsid w:val="002E38BC"/>
    <w:rsid w:val="002E3EFC"/>
    <w:rsid w:val="002E4069"/>
    <w:rsid w:val="002E4922"/>
    <w:rsid w:val="002E4959"/>
    <w:rsid w:val="002E4E0C"/>
    <w:rsid w:val="002E5048"/>
    <w:rsid w:val="002E55D6"/>
    <w:rsid w:val="002E684D"/>
    <w:rsid w:val="002E7145"/>
    <w:rsid w:val="002E76A6"/>
    <w:rsid w:val="002F00CB"/>
    <w:rsid w:val="002F09A7"/>
    <w:rsid w:val="002F0A15"/>
    <w:rsid w:val="002F0AD5"/>
    <w:rsid w:val="002F1624"/>
    <w:rsid w:val="002F194B"/>
    <w:rsid w:val="002F19B3"/>
    <w:rsid w:val="002F1DA9"/>
    <w:rsid w:val="002F1F36"/>
    <w:rsid w:val="002F27C7"/>
    <w:rsid w:val="002F2865"/>
    <w:rsid w:val="002F3497"/>
    <w:rsid w:val="002F37DB"/>
    <w:rsid w:val="002F3B07"/>
    <w:rsid w:val="002F41A6"/>
    <w:rsid w:val="002F41FE"/>
    <w:rsid w:val="002F4477"/>
    <w:rsid w:val="002F47F4"/>
    <w:rsid w:val="002F4B10"/>
    <w:rsid w:val="002F4B60"/>
    <w:rsid w:val="002F51F8"/>
    <w:rsid w:val="002F53FA"/>
    <w:rsid w:val="002F5B1E"/>
    <w:rsid w:val="002F6205"/>
    <w:rsid w:val="002F68B5"/>
    <w:rsid w:val="002F6C9F"/>
    <w:rsid w:val="002F7421"/>
    <w:rsid w:val="002F7F80"/>
    <w:rsid w:val="0030039C"/>
    <w:rsid w:val="00300950"/>
    <w:rsid w:val="0030096C"/>
    <w:rsid w:val="00300B98"/>
    <w:rsid w:val="00300F1C"/>
    <w:rsid w:val="00301599"/>
    <w:rsid w:val="003016B5"/>
    <w:rsid w:val="00301F4B"/>
    <w:rsid w:val="00302AE6"/>
    <w:rsid w:val="00302D20"/>
    <w:rsid w:val="00302EDD"/>
    <w:rsid w:val="003032CF"/>
    <w:rsid w:val="00303710"/>
    <w:rsid w:val="003046C4"/>
    <w:rsid w:val="003048B3"/>
    <w:rsid w:val="00304D52"/>
    <w:rsid w:val="00305877"/>
    <w:rsid w:val="00305CA0"/>
    <w:rsid w:val="00305CFD"/>
    <w:rsid w:val="00305D73"/>
    <w:rsid w:val="00305F1E"/>
    <w:rsid w:val="00306922"/>
    <w:rsid w:val="00306F17"/>
    <w:rsid w:val="0030719B"/>
    <w:rsid w:val="00307D12"/>
    <w:rsid w:val="00307E1A"/>
    <w:rsid w:val="00310567"/>
    <w:rsid w:val="00311F74"/>
    <w:rsid w:val="00312760"/>
    <w:rsid w:val="003135E5"/>
    <w:rsid w:val="00313BE2"/>
    <w:rsid w:val="0031435B"/>
    <w:rsid w:val="00314995"/>
    <w:rsid w:val="00315476"/>
    <w:rsid w:val="00315794"/>
    <w:rsid w:val="003169FC"/>
    <w:rsid w:val="00316AB4"/>
    <w:rsid w:val="00316AE0"/>
    <w:rsid w:val="00316D80"/>
    <w:rsid w:val="00316E83"/>
    <w:rsid w:val="00317043"/>
    <w:rsid w:val="0031743B"/>
    <w:rsid w:val="00317B07"/>
    <w:rsid w:val="0032042C"/>
    <w:rsid w:val="00320B4C"/>
    <w:rsid w:val="00321339"/>
    <w:rsid w:val="00321C6E"/>
    <w:rsid w:val="00322425"/>
    <w:rsid w:val="00322998"/>
    <w:rsid w:val="00323223"/>
    <w:rsid w:val="00323B48"/>
    <w:rsid w:val="00323ECD"/>
    <w:rsid w:val="003245F9"/>
    <w:rsid w:val="003249B3"/>
    <w:rsid w:val="003249C8"/>
    <w:rsid w:val="00324C35"/>
    <w:rsid w:val="003253A5"/>
    <w:rsid w:val="003257C1"/>
    <w:rsid w:val="00325DC3"/>
    <w:rsid w:val="00326107"/>
    <w:rsid w:val="00326229"/>
    <w:rsid w:val="00326943"/>
    <w:rsid w:val="00326BEA"/>
    <w:rsid w:val="00326C85"/>
    <w:rsid w:val="00326CB0"/>
    <w:rsid w:val="0032729D"/>
    <w:rsid w:val="00327BAD"/>
    <w:rsid w:val="003303E1"/>
    <w:rsid w:val="00330A9D"/>
    <w:rsid w:val="003314FA"/>
    <w:rsid w:val="003317A3"/>
    <w:rsid w:val="00331A19"/>
    <w:rsid w:val="00331ECD"/>
    <w:rsid w:val="003326A6"/>
    <w:rsid w:val="00332C53"/>
    <w:rsid w:val="00332C73"/>
    <w:rsid w:val="00333240"/>
    <w:rsid w:val="003333B3"/>
    <w:rsid w:val="00333D4B"/>
    <w:rsid w:val="0033432D"/>
    <w:rsid w:val="003354AC"/>
    <w:rsid w:val="00335D2E"/>
    <w:rsid w:val="00336468"/>
    <w:rsid w:val="0033695E"/>
    <w:rsid w:val="00336A1C"/>
    <w:rsid w:val="00337566"/>
    <w:rsid w:val="003375C4"/>
    <w:rsid w:val="00337B80"/>
    <w:rsid w:val="0034014E"/>
    <w:rsid w:val="00340BF9"/>
    <w:rsid w:val="00340E4A"/>
    <w:rsid w:val="00340FFF"/>
    <w:rsid w:val="003412AE"/>
    <w:rsid w:val="003417EA"/>
    <w:rsid w:val="003419F5"/>
    <w:rsid w:val="00341A24"/>
    <w:rsid w:val="00341E2C"/>
    <w:rsid w:val="00342034"/>
    <w:rsid w:val="003420D3"/>
    <w:rsid w:val="00343639"/>
    <w:rsid w:val="003438FD"/>
    <w:rsid w:val="00343FE2"/>
    <w:rsid w:val="00344384"/>
    <w:rsid w:val="00344539"/>
    <w:rsid w:val="00344B11"/>
    <w:rsid w:val="00344B20"/>
    <w:rsid w:val="00344BB8"/>
    <w:rsid w:val="00344FCE"/>
    <w:rsid w:val="00345104"/>
    <w:rsid w:val="00345215"/>
    <w:rsid w:val="00345697"/>
    <w:rsid w:val="00345C82"/>
    <w:rsid w:val="00345C8D"/>
    <w:rsid w:val="00345E11"/>
    <w:rsid w:val="00347BE0"/>
    <w:rsid w:val="00350242"/>
    <w:rsid w:val="003507D5"/>
    <w:rsid w:val="00350FC9"/>
    <w:rsid w:val="00351166"/>
    <w:rsid w:val="0035116C"/>
    <w:rsid w:val="003511E8"/>
    <w:rsid w:val="00351837"/>
    <w:rsid w:val="00351A6E"/>
    <w:rsid w:val="00351D72"/>
    <w:rsid w:val="00351EF4"/>
    <w:rsid w:val="00352319"/>
    <w:rsid w:val="00352987"/>
    <w:rsid w:val="003530CE"/>
    <w:rsid w:val="00353179"/>
    <w:rsid w:val="00353275"/>
    <w:rsid w:val="003534E6"/>
    <w:rsid w:val="00353683"/>
    <w:rsid w:val="00353F4D"/>
    <w:rsid w:val="00354362"/>
    <w:rsid w:val="00354381"/>
    <w:rsid w:val="003544A1"/>
    <w:rsid w:val="00354BF9"/>
    <w:rsid w:val="00354E82"/>
    <w:rsid w:val="0035513C"/>
    <w:rsid w:val="00355477"/>
    <w:rsid w:val="003554D8"/>
    <w:rsid w:val="00355601"/>
    <w:rsid w:val="0035587E"/>
    <w:rsid w:val="00356106"/>
    <w:rsid w:val="00356194"/>
    <w:rsid w:val="00356A4A"/>
    <w:rsid w:val="00356CE7"/>
    <w:rsid w:val="00357815"/>
    <w:rsid w:val="00357AE6"/>
    <w:rsid w:val="00357D08"/>
    <w:rsid w:val="00361119"/>
    <w:rsid w:val="00361167"/>
    <w:rsid w:val="0036136A"/>
    <w:rsid w:val="0036144B"/>
    <w:rsid w:val="0036184D"/>
    <w:rsid w:val="0036194F"/>
    <w:rsid w:val="00361B8F"/>
    <w:rsid w:val="00361FA5"/>
    <w:rsid w:val="00362B01"/>
    <w:rsid w:val="003634C9"/>
    <w:rsid w:val="00363EEF"/>
    <w:rsid w:val="00364467"/>
    <w:rsid w:val="003644E5"/>
    <w:rsid w:val="003648F0"/>
    <w:rsid w:val="00364905"/>
    <w:rsid w:val="00364ED9"/>
    <w:rsid w:val="00365D17"/>
    <w:rsid w:val="0036660E"/>
    <w:rsid w:val="00366AC3"/>
    <w:rsid w:val="003678FF"/>
    <w:rsid w:val="00367C1E"/>
    <w:rsid w:val="00370C96"/>
    <w:rsid w:val="0037152B"/>
    <w:rsid w:val="00372447"/>
    <w:rsid w:val="00372C0B"/>
    <w:rsid w:val="00372EB3"/>
    <w:rsid w:val="00373F5D"/>
    <w:rsid w:val="00375926"/>
    <w:rsid w:val="00376490"/>
    <w:rsid w:val="0037697A"/>
    <w:rsid w:val="003769C5"/>
    <w:rsid w:val="003769D2"/>
    <w:rsid w:val="00377343"/>
    <w:rsid w:val="00377BE8"/>
    <w:rsid w:val="00377CED"/>
    <w:rsid w:val="003800FE"/>
    <w:rsid w:val="00380512"/>
    <w:rsid w:val="003809B4"/>
    <w:rsid w:val="00380BF0"/>
    <w:rsid w:val="00380E93"/>
    <w:rsid w:val="00381231"/>
    <w:rsid w:val="003814EC"/>
    <w:rsid w:val="003816F5"/>
    <w:rsid w:val="00382010"/>
    <w:rsid w:val="00382979"/>
    <w:rsid w:val="0038364B"/>
    <w:rsid w:val="00383B8B"/>
    <w:rsid w:val="00383FEA"/>
    <w:rsid w:val="0038400C"/>
    <w:rsid w:val="0038420B"/>
    <w:rsid w:val="00384B2E"/>
    <w:rsid w:val="00384D9C"/>
    <w:rsid w:val="00384F00"/>
    <w:rsid w:val="00385341"/>
    <w:rsid w:val="00385534"/>
    <w:rsid w:val="003865AC"/>
    <w:rsid w:val="003868CE"/>
    <w:rsid w:val="00386CDB"/>
    <w:rsid w:val="0038716C"/>
    <w:rsid w:val="00387292"/>
    <w:rsid w:val="0038760E"/>
    <w:rsid w:val="00390212"/>
    <w:rsid w:val="003905CE"/>
    <w:rsid w:val="00391214"/>
    <w:rsid w:val="00391301"/>
    <w:rsid w:val="00391415"/>
    <w:rsid w:val="00391F24"/>
    <w:rsid w:val="0039254E"/>
    <w:rsid w:val="00392731"/>
    <w:rsid w:val="0039285A"/>
    <w:rsid w:val="00392D15"/>
    <w:rsid w:val="00392EBD"/>
    <w:rsid w:val="00393AEB"/>
    <w:rsid w:val="003940D7"/>
    <w:rsid w:val="00394618"/>
    <w:rsid w:val="00394974"/>
    <w:rsid w:val="00394DAD"/>
    <w:rsid w:val="00395BD1"/>
    <w:rsid w:val="003960AE"/>
    <w:rsid w:val="003968DC"/>
    <w:rsid w:val="00396F2B"/>
    <w:rsid w:val="00396FF4"/>
    <w:rsid w:val="00397542"/>
    <w:rsid w:val="0039779F"/>
    <w:rsid w:val="00397916"/>
    <w:rsid w:val="00397E92"/>
    <w:rsid w:val="00397FF1"/>
    <w:rsid w:val="003A037B"/>
    <w:rsid w:val="003A0806"/>
    <w:rsid w:val="003A0D45"/>
    <w:rsid w:val="003A14F6"/>
    <w:rsid w:val="003A15B1"/>
    <w:rsid w:val="003A1D8D"/>
    <w:rsid w:val="003A2241"/>
    <w:rsid w:val="003A24D2"/>
    <w:rsid w:val="003A285E"/>
    <w:rsid w:val="003A2A8E"/>
    <w:rsid w:val="003A342D"/>
    <w:rsid w:val="003A42D5"/>
    <w:rsid w:val="003A431F"/>
    <w:rsid w:val="003A4DD3"/>
    <w:rsid w:val="003A54EB"/>
    <w:rsid w:val="003A5A26"/>
    <w:rsid w:val="003A5AF1"/>
    <w:rsid w:val="003A6461"/>
    <w:rsid w:val="003A6573"/>
    <w:rsid w:val="003A65FB"/>
    <w:rsid w:val="003A66A7"/>
    <w:rsid w:val="003A70A9"/>
    <w:rsid w:val="003A78D4"/>
    <w:rsid w:val="003B0D15"/>
    <w:rsid w:val="003B14AC"/>
    <w:rsid w:val="003B1728"/>
    <w:rsid w:val="003B22FD"/>
    <w:rsid w:val="003B2A7E"/>
    <w:rsid w:val="003B2BAF"/>
    <w:rsid w:val="003B3960"/>
    <w:rsid w:val="003B3B5F"/>
    <w:rsid w:val="003B46E6"/>
    <w:rsid w:val="003B4E64"/>
    <w:rsid w:val="003B5107"/>
    <w:rsid w:val="003B514C"/>
    <w:rsid w:val="003B557B"/>
    <w:rsid w:val="003B5668"/>
    <w:rsid w:val="003B5B43"/>
    <w:rsid w:val="003B5D1A"/>
    <w:rsid w:val="003B649F"/>
    <w:rsid w:val="003B6841"/>
    <w:rsid w:val="003B6E07"/>
    <w:rsid w:val="003B6F3B"/>
    <w:rsid w:val="003B716A"/>
    <w:rsid w:val="003B7265"/>
    <w:rsid w:val="003B7B50"/>
    <w:rsid w:val="003C008D"/>
    <w:rsid w:val="003C0518"/>
    <w:rsid w:val="003C0848"/>
    <w:rsid w:val="003C0BAB"/>
    <w:rsid w:val="003C0E9E"/>
    <w:rsid w:val="003C1455"/>
    <w:rsid w:val="003C1DD7"/>
    <w:rsid w:val="003C2385"/>
    <w:rsid w:val="003C2C59"/>
    <w:rsid w:val="003C364C"/>
    <w:rsid w:val="003C3C18"/>
    <w:rsid w:val="003C4916"/>
    <w:rsid w:val="003C498B"/>
    <w:rsid w:val="003C4BA4"/>
    <w:rsid w:val="003C4C30"/>
    <w:rsid w:val="003C5133"/>
    <w:rsid w:val="003C53F7"/>
    <w:rsid w:val="003C59F8"/>
    <w:rsid w:val="003C5E57"/>
    <w:rsid w:val="003C5F18"/>
    <w:rsid w:val="003C6007"/>
    <w:rsid w:val="003C603E"/>
    <w:rsid w:val="003C6274"/>
    <w:rsid w:val="003C65E2"/>
    <w:rsid w:val="003C6D74"/>
    <w:rsid w:val="003C7BFC"/>
    <w:rsid w:val="003D030B"/>
    <w:rsid w:val="003D0C25"/>
    <w:rsid w:val="003D0D45"/>
    <w:rsid w:val="003D0DAA"/>
    <w:rsid w:val="003D1624"/>
    <w:rsid w:val="003D2355"/>
    <w:rsid w:val="003D37B3"/>
    <w:rsid w:val="003D3C9E"/>
    <w:rsid w:val="003D3FA8"/>
    <w:rsid w:val="003D49B1"/>
    <w:rsid w:val="003D5C0E"/>
    <w:rsid w:val="003D5D7E"/>
    <w:rsid w:val="003D5DDA"/>
    <w:rsid w:val="003D6A23"/>
    <w:rsid w:val="003D6A29"/>
    <w:rsid w:val="003D6CB8"/>
    <w:rsid w:val="003D7463"/>
    <w:rsid w:val="003D7CC7"/>
    <w:rsid w:val="003E1953"/>
    <w:rsid w:val="003E1E43"/>
    <w:rsid w:val="003E2D94"/>
    <w:rsid w:val="003E2DAE"/>
    <w:rsid w:val="003E2EE4"/>
    <w:rsid w:val="003E3266"/>
    <w:rsid w:val="003E3B6D"/>
    <w:rsid w:val="003E3FAA"/>
    <w:rsid w:val="003E471E"/>
    <w:rsid w:val="003E4D61"/>
    <w:rsid w:val="003E53DF"/>
    <w:rsid w:val="003E6182"/>
    <w:rsid w:val="003E6330"/>
    <w:rsid w:val="003E65DC"/>
    <w:rsid w:val="003E7293"/>
    <w:rsid w:val="003E75C3"/>
    <w:rsid w:val="003E77FA"/>
    <w:rsid w:val="003E7F0F"/>
    <w:rsid w:val="003F06DE"/>
    <w:rsid w:val="003F07BF"/>
    <w:rsid w:val="003F09ED"/>
    <w:rsid w:val="003F09FD"/>
    <w:rsid w:val="003F0A29"/>
    <w:rsid w:val="003F0BBB"/>
    <w:rsid w:val="003F1889"/>
    <w:rsid w:val="003F1CCE"/>
    <w:rsid w:val="003F2247"/>
    <w:rsid w:val="003F24E7"/>
    <w:rsid w:val="003F253D"/>
    <w:rsid w:val="003F2575"/>
    <w:rsid w:val="003F2E9A"/>
    <w:rsid w:val="003F2E9B"/>
    <w:rsid w:val="003F2F14"/>
    <w:rsid w:val="003F3002"/>
    <w:rsid w:val="003F31F7"/>
    <w:rsid w:val="003F3388"/>
    <w:rsid w:val="003F38EA"/>
    <w:rsid w:val="003F3C09"/>
    <w:rsid w:val="003F3CAF"/>
    <w:rsid w:val="003F433B"/>
    <w:rsid w:val="003F483F"/>
    <w:rsid w:val="003F4AEC"/>
    <w:rsid w:val="003F535E"/>
    <w:rsid w:val="003F6217"/>
    <w:rsid w:val="003F6299"/>
    <w:rsid w:val="003F68FB"/>
    <w:rsid w:val="003F6985"/>
    <w:rsid w:val="003F6DE9"/>
    <w:rsid w:val="003F6E7D"/>
    <w:rsid w:val="003F7285"/>
    <w:rsid w:val="003F7A88"/>
    <w:rsid w:val="003F7ACB"/>
    <w:rsid w:val="003F7F96"/>
    <w:rsid w:val="004004ED"/>
    <w:rsid w:val="00400F36"/>
    <w:rsid w:val="00401830"/>
    <w:rsid w:val="00401AAC"/>
    <w:rsid w:val="00401F6C"/>
    <w:rsid w:val="004020CB"/>
    <w:rsid w:val="004021E7"/>
    <w:rsid w:val="0040270E"/>
    <w:rsid w:val="00402B5A"/>
    <w:rsid w:val="00402DA0"/>
    <w:rsid w:val="004037FF"/>
    <w:rsid w:val="00403B67"/>
    <w:rsid w:val="00403F97"/>
    <w:rsid w:val="00404124"/>
    <w:rsid w:val="00404245"/>
    <w:rsid w:val="00404400"/>
    <w:rsid w:val="00404526"/>
    <w:rsid w:val="004047DD"/>
    <w:rsid w:val="00404A25"/>
    <w:rsid w:val="00404A9D"/>
    <w:rsid w:val="00404AB1"/>
    <w:rsid w:val="00404D42"/>
    <w:rsid w:val="00405C8F"/>
    <w:rsid w:val="00406AD0"/>
    <w:rsid w:val="00406B56"/>
    <w:rsid w:val="00406B98"/>
    <w:rsid w:val="00406CCC"/>
    <w:rsid w:val="004073F6"/>
    <w:rsid w:val="0040762B"/>
    <w:rsid w:val="00407D82"/>
    <w:rsid w:val="00410044"/>
    <w:rsid w:val="004105F9"/>
    <w:rsid w:val="00410AEE"/>
    <w:rsid w:val="00411654"/>
    <w:rsid w:val="0041170B"/>
    <w:rsid w:val="0041175F"/>
    <w:rsid w:val="00411805"/>
    <w:rsid w:val="00411B14"/>
    <w:rsid w:val="00411F99"/>
    <w:rsid w:val="004123A0"/>
    <w:rsid w:val="0041254C"/>
    <w:rsid w:val="00413182"/>
    <w:rsid w:val="0041357C"/>
    <w:rsid w:val="00413E23"/>
    <w:rsid w:val="00414782"/>
    <w:rsid w:val="00415048"/>
    <w:rsid w:val="0041511C"/>
    <w:rsid w:val="00416E18"/>
    <w:rsid w:val="00417D35"/>
    <w:rsid w:val="004200BA"/>
    <w:rsid w:val="00420B97"/>
    <w:rsid w:val="00421379"/>
    <w:rsid w:val="00421A00"/>
    <w:rsid w:val="00421C89"/>
    <w:rsid w:val="00422FE7"/>
    <w:rsid w:val="00422FFE"/>
    <w:rsid w:val="0042358A"/>
    <w:rsid w:val="00423799"/>
    <w:rsid w:val="00423842"/>
    <w:rsid w:val="004238E6"/>
    <w:rsid w:val="00423DCF"/>
    <w:rsid w:val="00423FE9"/>
    <w:rsid w:val="004249A6"/>
    <w:rsid w:val="00424B8B"/>
    <w:rsid w:val="00425888"/>
    <w:rsid w:val="004263B9"/>
    <w:rsid w:val="00426604"/>
    <w:rsid w:val="00427121"/>
    <w:rsid w:val="00427F65"/>
    <w:rsid w:val="004306BF"/>
    <w:rsid w:val="00430EE6"/>
    <w:rsid w:val="004312C8"/>
    <w:rsid w:val="004313EA"/>
    <w:rsid w:val="004318D4"/>
    <w:rsid w:val="004319B7"/>
    <w:rsid w:val="004319E7"/>
    <w:rsid w:val="004320C3"/>
    <w:rsid w:val="004321B9"/>
    <w:rsid w:val="004322B0"/>
    <w:rsid w:val="00432309"/>
    <w:rsid w:val="00432786"/>
    <w:rsid w:val="00432AEB"/>
    <w:rsid w:val="00433021"/>
    <w:rsid w:val="00433427"/>
    <w:rsid w:val="004335F8"/>
    <w:rsid w:val="0043380D"/>
    <w:rsid w:val="00433890"/>
    <w:rsid w:val="00433A62"/>
    <w:rsid w:val="00433CAA"/>
    <w:rsid w:val="00433F90"/>
    <w:rsid w:val="00434751"/>
    <w:rsid w:val="00434AE6"/>
    <w:rsid w:val="00436055"/>
    <w:rsid w:val="00436C0B"/>
    <w:rsid w:val="00436E7D"/>
    <w:rsid w:val="00436FA0"/>
    <w:rsid w:val="00437B06"/>
    <w:rsid w:val="004406DB"/>
    <w:rsid w:val="00440756"/>
    <w:rsid w:val="0044194C"/>
    <w:rsid w:val="00441AE6"/>
    <w:rsid w:val="00441E3A"/>
    <w:rsid w:val="00442E19"/>
    <w:rsid w:val="00443B3A"/>
    <w:rsid w:val="00443BA1"/>
    <w:rsid w:val="0044456F"/>
    <w:rsid w:val="0044582D"/>
    <w:rsid w:val="00445AC2"/>
    <w:rsid w:val="00445E73"/>
    <w:rsid w:val="004460FE"/>
    <w:rsid w:val="0044661E"/>
    <w:rsid w:val="00446BE2"/>
    <w:rsid w:val="00447124"/>
    <w:rsid w:val="00447126"/>
    <w:rsid w:val="004501D0"/>
    <w:rsid w:val="004502FC"/>
    <w:rsid w:val="00450841"/>
    <w:rsid w:val="00450960"/>
    <w:rsid w:val="00450A3E"/>
    <w:rsid w:val="00451419"/>
    <w:rsid w:val="00451477"/>
    <w:rsid w:val="0045232D"/>
    <w:rsid w:val="004527C7"/>
    <w:rsid w:val="00452887"/>
    <w:rsid w:val="004536F0"/>
    <w:rsid w:val="004540BE"/>
    <w:rsid w:val="004540CF"/>
    <w:rsid w:val="00454753"/>
    <w:rsid w:val="004547DA"/>
    <w:rsid w:val="00454872"/>
    <w:rsid w:val="004553CC"/>
    <w:rsid w:val="00455730"/>
    <w:rsid w:val="00455C4E"/>
    <w:rsid w:val="00455D18"/>
    <w:rsid w:val="00456E68"/>
    <w:rsid w:val="00457416"/>
    <w:rsid w:val="00457495"/>
    <w:rsid w:val="00457867"/>
    <w:rsid w:val="004579B9"/>
    <w:rsid w:val="00460CDA"/>
    <w:rsid w:val="00461076"/>
    <w:rsid w:val="004610A7"/>
    <w:rsid w:val="00461794"/>
    <w:rsid w:val="00461B95"/>
    <w:rsid w:val="0046234D"/>
    <w:rsid w:val="00463C4E"/>
    <w:rsid w:val="00463E77"/>
    <w:rsid w:val="00465104"/>
    <w:rsid w:val="004661E9"/>
    <w:rsid w:val="0046622F"/>
    <w:rsid w:val="0046633A"/>
    <w:rsid w:val="00466968"/>
    <w:rsid w:val="00467494"/>
    <w:rsid w:val="00467A95"/>
    <w:rsid w:val="00470181"/>
    <w:rsid w:val="004702CB"/>
    <w:rsid w:val="004714D8"/>
    <w:rsid w:val="00471B1C"/>
    <w:rsid w:val="00471C20"/>
    <w:rsid w:val="004721A6"/>
    <w:rsid w:val="004723BF"/>
    <w:rsid w:val="004725C5"/>
    <w:rsid w:val="00472765"/>
    <w:rsid w:val="0047359D"/>
    <w:rsid w:val="00474118"/>
    <w:rsid w:val="00474985"/>
    <w:rsid w:val="00474D81"/>
    <w:rsid w:val="0047516D"/>
    <w:rsid w:val="004755D4"/>
    <w:rsid w:val="00475796"/>
    <w:rsid w:val="00475CA9"/>
    <w:rsid w:val="00475E8B"/>
    <w:rsid w:val="0047676F"/>
    <w:rsid w:val="00476D89"/>
    <w:rsid w:val="004775CD"/>
    <w:rsid w:val="004776D8"/>
    <w:rsid w:val="004777AF"/>
    <w:rsid w:val="004778E3"/>
    <w:rsid w:val="00477A2C"/>
    <w:rsid w:val="00477C7C"/>
    <w:rsid w:val="00477F0A"/>
    <w:rsid w:val="004802B9"/>
    <w:rsid w:val="004805C3"/>
    <w:rsid w:val="00481759"/>
    <w:rsid w:val="00481AC6"/>
    <w:rsid w:val="004820B5"/>
    <w:rsid w:val="00482B36"/>
    <w:rsid w:val="0048347A"/>
    <w:rsid w:val="00483630"/>
    <w:rsid w:val="004836E6"/>
    <w:rsid w:val="00483755"/>
    <w:rsid w:val="004839BA"/>
    <w:rsid w:val="00483AE4"/>
    <w:rsid w:val="00484004"/>
    <w:rsid w:val="00484B82"/>
    <w:rsid w:val="00485E1F"/>
    <w:rsid w:val="00486243"/>
    <w:rsid w:val="004867AB"/>
    <w:rsid w:val="00486ABF"/>
    <w:rsid w:val="00486BE6"/>
    <w:rsid w:val="00487345"/>
    <w:rsid w:val="00487F53"/>
    <w:rsid w:val="0049040C"/>
    <w:rsid w:val="0049080C"/>
    <w:rsid w:val="00491A0A"/>
    <w:rsid w:val="00492131"/>
    <w:rsid w:val="004926DD"/>
    <w:rsid w:val="004926F3"/>
    <w:rsid w:val="00492BC1"/>
    <w:rsid w:val="0049300A"/>
    <w:rsid w:val="004934D2"/>
    <w:rsid w:val="004939C8"/>
    <w:rsid w:val="004940EB"/>
    <w:rsid w:val="0049447B"/>
    <w:rsid w:val="004944AC"/>
    <w:rsid w:val="00495B47"/>
    <w:rsid w:val="00496213"/>
    <w:rsid w:val="004968ED"/>
    <w:rsid w:val="00496916"/>
    <w:rsid w:val="00497024"/>
    <w:rsid w:val="0049727E"/>
    <w:rsid w:val="004972CE"/>
    <w:rsid w:val="004977CD"/>
    <w:rsid w:val="0049780F"/>
    <w:rsid w:val="004A0648"/>
    <w:rsid w:val="004A0AE1"/>
    <w:rsid w:val="004A0C10"/>
    <w:rsid w:val="004A11FE"/>
    <w:rsid w:val="004A13BB"/>
    <w:rsid w:val="004A1404"/>
    <w:rsid w:val="004A1738"/>
    <w:rsid w:val="004A18DB"/>
    <w:rsid w:val="004A1E82"/>
    <w:rsid w:val="004A20F5"/>
    <w:rsid w:val="004A2B2C"/>
    <w:rsid w:val="004A2D3C"/>
    <w:rsid w:val="004A30A4"/>
    <w:rsid w:val="004A30FC"/>
    <w:rsid w:val="004A3477"/>
    <w:rsid w:val="004A3BEC"/>
    <w:rsid w:val="004A3D72"/>
    <w:rsid w:val="004A47AB"/>
    <w:rsid w:val="004A4ECB"/>
    <w:rsid w:val="004A57A1"/>
    <w:rsid w:val="004A5DF3"/>
    <w:rsid w:val="004A6255"/>
    <w:rsid w:val="004A6B03"/>
    <w:rsid w:val="004A706A"/>
    <w:rsid w:val="004A7260"/>
    <w:rsid w:val="004A7A6D"/>
    <w:rsid w:val="004B01BD"/>
    <w:rsid w:val="004B0FD1"/>
    <w:rsid w:val="004B1545"/>
    <w:rsid w:val="004B181C"/>
    <w:rsid w:val="004B2979"/>
    <w:rsid w:val="004B2E50"/>
    <w:rsid w:val="004B2EBE"/>
    <w:rsid w:val="004B38C0"/>
    <w:rsid w:val="004B3EB9"/>
    <w:rsid w:val="004B4009"/>
    <w:rsid w:val="004B47D9"/>
    <w:rsid w:val="004B4F14"/>
    <w:rsid w:val="004B4F8E"/>
    <w:rsid w:val="004B5488"/>
    <w:rsid w:val="004B5F0A"/>
    <w:rsid w:val="004B6DA1"/>
    <w:rsid w:val="004B73F7"/>
    <w:rsid w:val="004B761B"/>
    <w:rsid w:val="004B79FE"/>
    <w:rsid w:val="004C0695"/>
    <w:rsid w:val="004C0FF7"/>
    <w:rsid w:val="004C171B"/>
    <w:rsid w:val="004C1D4B"/>
    <w:rsid w:val="004C2390"/>
    <w:rsid w:val="004C258B"/>
    <w:rsid w:val="004C27A3"/>
    <w:rsid w:val="004C2B73"/>
    <w:rsid w:val="004C2D42"/>
    <w:rsid w:val="004C2E15"/>
    <w:rsid w:val="004C2FFE"/>
    <w:rsid w:val="004C3139"/>
    <w:rsid w:val="004C3A58"/>
    <w:rsid w:val="004C3B3F"/>
    <w:rsid w:val="004C406B"/>
    <w:rsid w:val="004C455E"/>
    <w:rsid w:val="004C4659"/>
    <w:rsid w:val="004C49BA"/>
    <w:rsid w:val="004C4C02"/>
    <w:rsid w:val="004C4E07"/>
    <w:rsid w:val="004C528C"/>
    <w:rsid w:val="004C6103"/>
    <w:rsid w:val="004C68BB"/>
    <w:rsid w:val="004C68FF"/>
    <w:rsid w:val="004C6B79"/>
    <w:rsid w:val="004C720D"/>
    <w:rsid w:val="004C729F"/>
    <w:rsid w:val="004C79C8"/>
    <w:rsid w:val="004C7FC6"/>
    <w:rsid w:val="004D00DF"/>
    <w:rsid w:val="004D020D"/>
    <w:rsid w:val="004D04D1"/>
    <w:rsid w:val="004D11C6"/>
    <w:rsid w:val="004D15BC"/>
    <w:rsid w:val="004D1687"/>
    <w:rsid w:val="004D18B0"/>
    <w:rsid w:val="004D1C24"/>
    <w:rsid w:val="004D20BC"/>
    <w:rsid w:val="004D20D4"/>
    <w:rsid w:val="004D2111"/>
    <w:rsid w:val="004D2518"/>
    <w:rsid w:val="004D2AE8"/>
    <w:rsid w:val="004D2B46"/>
    <w:rsid w:val="004D390D"/>
    <w:rsid w:val="004D3C35"/>
    <w:rsid w:val="004D3C97"/>
    <w:rsid w:val="004D3EE1"/>
    <w:rsid w:val="004D40A0"/>
    <w:rsid w:val="004D4217"/>
    <w:rsid w:val="004D436E"/>
    <w:rsid w:val="004D43C1"/>
    <w:rsid w:val="004D4465"/>
    <w:rsid w:val="004D4646"/>
    <w:rsid w:val="004D4D63"/>
    <w:rsid w:val="004D4E8A"/>
    <w:rsid w:val="004D599D"/>
    <w:rsid w:val="004D59EA"/>
    <w:rsid w:val="004D6E11"/>
    <w:rsid w:val="004D7A6E"/>
    <w:rsid w:val="004D7FA3"/>
    <w:rsid w:val="004E078B"/>
    <w:rsid w:val="004E0BF4"/>
    <w:rsid w:val="004E11E2"/>
    <w:rsid w:val="004E15C5"/>
    <w:rsid w:val="004E1634"/>
    <w:rsid w:val="004E1A56"/>
    <w:rsid w:val="004E1E46"/>
    <w:rsid w:val="004E2FFC"/>
    <w:rsid w:val="004E329C"/>
    <w:rsid w:val="004E3692"/>
    <w:rsid w:val="004E3E5A"/>
    <w:rsid w:val="004E3F99"/>
    <w:rsid w:val="004E414E"/>
    <w:rsid w:val="004E41A4"/>
    <w:rsid w:val="004E4C5B"/>
    <w:rsid w:val="004E586F"/>
    <w:rsid w:val="004E5DF4"/>
    <w:rsid w:val="004E6DC5"/>
    <w:rsid w:val="004E6E4E"/>
    <w:rsid w:val="004F07D8"/>
    <w:rsid w:val="004F1278"/>
    <w:rsid w:val="004F19AD"/>
    <w:rsid w:val="004F1B36"/>
    <w:rsid w:val="004F2F6E"/>
    <w:rsid w:val="004F3060"/>
    <w:rsid w:val="004F34DE"/>
    <w:rsid w:val="004F4870"/>
    <w:rsid w:val="004F4C03"/>
    <w:rsid w:val="004F5905"/>
    <w:rsid w:val="004F5D99"/>
    <w:rsid w:val="004F6394"/>
    <w:rsid w:val="004F6A05"/>
    <w:rsid w:val="004F73B0"/>
    <w:rsid w:val="004F74AE"/>
    <w:rsid w:val="004F7518"/>
    <w:rsid w:val="004F7578"/>
    <w:rsid w:val="004F792B"/>
    <w:rsid w:val="005007A8"/>
    <w:rsid w:val="005007F5"/>
    <w:rsid w:val="00501010"/>
    <w:rsid w:val="00501305"/>
    <w:rsid w:val="0050185A"/>
    <w:rsid w:val="00501F4C"/>
    <w:rsid w:val="00502077"/>
    <w:rsid w:val="00502152"/>
    <w:rsid w:val="00502312"/>
    <w:rsid w:val="005023AA"/>
    <w:rsid w:val="00502D58"/>
    <w:rsid w:val="00503313"/>
    <w:rsid w:val="0050361E"/>
    <w:rsid w:val="00503746"/>
    <w:rsid w:val="0050385D"/>
    <w:rsid w:val="00503C04"/>
    <w:rsid w:val="00504A28"/>
    <w:rsid w:val="00504F98"/>
    <w:rsid w:val="00505EEB"/>
    <w:rsid w:val="0050627E"/>
    <w:rsid w:val="005064BE"/>
    <w:rsid w:val="0050676E"/>
    <w:rsid w:val="005069A9"/>
    <w:rsid w:val="005073EF"/>
    <w:rsid w:val="0050761E"/>
    <w:rsid w:val="00507EB4"/>
    <w:rsid w:val="005103F1"/>
    <w:rsid w:val="00510447"/>
    <w:rsid w:val="0051200B"/>
    <w:rsid w:val="00512099"/>
    <w:rsid w:val="00512435"/>
    <w:rsid w:val="00512737"/>
    <w:rsid w:val="00512794"/>
    <w:rsid w:val="00512B11"/>
    <w:rsid w:val="00512B1C"/>
    <w:rsid w:val="00513698"/>
    <w:rsid w:val="00513C00"/>
    <w:rsid w:val="00513C2D"/>
    <w:rsid w:val="00513D2A"/>
    <w:rsid w:val="00514846"/>
    <w:rsid w:val="0051524E"/>
    <w:rsid w:val="0051562D"/>
    <w:rsid w:val="0051584A"/>
    <w:rsid w:val="00515962"/>
    <w:rsid w:val="00516199"/>
    <w:rsid w:val="005161A3"/>
    <w:rsid w:val="005171BF"/>
    <w:rsid w:val="00517283"/>
    <w:rsid w:val="00517475"/>
    <w:rsid w:val="005175E7"/>
    <w:rsid w:val="005178BB"/>
    <w:rsid w:val="005207F7"/>
    <w:rsid w:val="00520A86"/>
    <w:rsid w:val="00520E6E"/>
    <w:rsid w:val="0052149F"/>
    <w:rsid w:val="00521934"/>
    <w:rsid w:val="00521CA3"/>
    <w:rsid w:val="005226E7"/>
    <w:rsid w:val="00522DE7"/>
    <w:rsid w:val="0052316B"/>
    <w:rsid w:val="0052477C"/>
    <w:rsid w:val="0052523B"/>
    <w:rsid w:val="00525F9F"/>
    <w:rsid w:val="00527640"/>
    <w:rsid w:val="00527D87"/>
    <w:rsid w:val="00530A35"/>
    <w:rsid w:val="00530ACA"/>
    <w:rsid w:val="00530EF5"/>
    <w:rsid w:val="00532351"/>
    <w:rsid w:val="0053270E"/>
    <w:rsid w:val="00532EDB"/>
    <w:rsid w:val="0053328E"/>
    <w:rsid w:val="00533E5E"/>
    <w:rsid w:val="00534254"/>
    <w:rsid w:val="005344F5"/>
    <w:rsid w:val="005345DF"/>
    <w:rsid w:val="0053482F"/>
    <w:rsid w:val="00535731"/>
    <w:rsid w:val="00535941"/>
    <w:rsid w:val="00535A76"/>
    <w:rsid w:val="00535EC7"/>
    <w:rsid w:val="00535F32"/>
    <w:rsid w:val="0053615B"/>
    <w:rsid w:val="005361BB"/>
    <w:rsid w:val="005364E8"/>
    <w:rsid w:val="005373E1"/>
    <w:rsid w:val="00537565"/>
    <w:rsid w:val="0054091D"/>
    <w:rsid w:val="005409CA"/>
    <w:rsid w:val="00540F9A"/>
    <w:rsid w:val="005414B3"/>
    <w:rsid w:val="00541768"/>
    <w:rsid w:val="00541ACE"/>
    <w:rsid w:val="00541DFE"/>
    <w:rsid w:val="00541E41"/>
    <w:rsid w:val="005427C5"/>
    <w:rsid w:val="00543075"/>
    <w:rsid w:val="005441A7"/>
    <w:rsid w:val="0054442C"/>
    <w:rsid w:val="0054448C"/>
    <w:rsid w:val="005448B9"/>
    <w:rsid w:val="0054516E"/>
    <w:rsid w:val="00545B16"/>
    <w:rsid w:val="00545C83"/>
    <w:rsid w:val="00545FBA"/>
    <w:rsid w:val="00546221"/>
    <w:rsid w:val="005464F5"/>
    <w:rsid w:val="00546D72"/>
    <w:rsid w:val="005472D8"/>
    <w:rsid w:val="00550EA0"/>
    <w:rsid w:val="0055160D"/>
    <w:rsid w:val="00551C91"/>
    <w:rsid w:val="00552062"/>
    <w:rsid w:val="0055318F"/>
    <w:rsid w:val="005538C7"/>
    <w:rsid w:val="00553968"/>
    <w:rsid w:val="00553CCE"/>
    <w:rsid w:val="0055477C"/>
    <w:rsid w:val="00554840"/>
    <w:rsid w:val="00554DEF"/>
    <w:rsid w:val="00554E88"/>
    <w:rsid w:val="00555F5D"/>
    <w:rsid w:val="0055708C"/>
    <w:rsid w:val="00557B81"/>
    <w:rsid w:val="00557FBA"/>
    <w:rsid w:val="00560551"/>
    <w:rsid w:val="0056073A"/>
    <w:rsid w:val="00560981"/>
    <w:rsid w:val="00560F2A"/>
    <w:rsid w:val="00560F54"/>
    <w:rsid w:val="00561452"/>
    <w:rsid w:val="005617E8"/>
    <w:rsid w:val="0056226E"/>
    <w:rsid w:val="005628E7"/>
    <w:rsid w:val="00562BF4"/>
    <w:rsid w:val="00562EA3"/>
    <w:rsid w:val="0056343D"/>
    <w:rsid w:val="0056380A"/>
    <w:rsid w:val="00564AB5"/>
    <w:rsid w:val="00564ACD"/>
    <w:rsid w:val="005653BE"/>
    <w:rsid w:val="0056548F"/>
    <w:rsid w:val="005655CA"/>
    <w:rsid w:val="005659BC"/>
    <w:rsid w:val="00565CDD"/>
    <w:rsid w:val="00565DD1"/>
    <w:rsid w:val="00565F5D"/>
    <w:rsid w:val="0056626F"/>
    <w:rsid w:val="005663B9"/>
    <w:rsid w:val="0056696F"/>
    <w:rsid w:val="00566AAF"/>
    <w:rsid w:val="005670F2"/>
    <w:rsid w:val="00567B45"/>
    <w:rsid w:val="00570B63"/>
    <w:rsid w:val="00570E23"/>
    <w:rsid w:val="00571FE2"/>
    <w:rsid w:val="00572244"/>
    <w:rsid w:val="00572546"/>
    <w:rsid w:val="00572CF5"/>
    <w:rsid w:val="00573133"/>
    <w:rsid w:val="005742EB"/>
    <w:rsid w:val="0057436B"/>
    <w:rsid w:val="00574690"/>
    <w:rsid w:val="00574A26"/>
    <w:rsid w:val="00574CDD"/>
    <w:rsid w:val="005751C5"/>
    <w:rsid w:val="00575BC8"/>
    <w:rsid w:val="00575FA2"/>
    <w:rsid w:val="0057680A"/>
    <w:rsid w:val="00577EAA"/>
    <w:rsid w:val="00581170"/>
    <w:rsid w:val="00581219"/>
    <w:rsid w:val="0058144B"/>
    <w:rsid w:val="00581559"/>
    <w:rsid w:val="00581B46"/>
    <w:rsid w:val="00582A11"/>
    <w:rsid w:val="00582A9A"/>
    <w:rsid w:val="0058313E"/>
    <w:rsid w:val="005834CB"/>
    <w:rsid w:val="00583AA0"/>
    <w:rsid w:val="00583D98"/>
    <w:rsid w:val="00585187"/>
    <w:rsid w:val="005855DF"/>
    <w:rsid w:val="005857DD"/>
    <w:rsid w:val="005859BA"/>
    <w:rsid w:val="00586782"/>
    <w:rsid w:val="00586F26"/>
    <w:rsid w:val="0058729A"/>
    <w:rsid w:val="00587889"/>
    <w:rsid w:val="0058789C"/>
    <w:rsid w:val="00587C40"/>
    <w:rsid w:val="00587C77"/>
    <w:rsid w:val="00590B01"/>
    <w:rsid w:val="0059166A"/>
    <w:rsid w:val="00591789"/>
    <w:rsid w:val="00591999"/>
    <w:rsid w:val="00591CE6"/>
    <w:rsid w:val="005927E3"/>
    <w:rsid w:val="00592F30"/>
    <w:rsid w:val="005938AF"/>
    <w:rsid w:val="00593AB6"/>
    <w:rsid w:val="00593D4C"/>
    <w:rsid w:val="0059469E"/>
    <w:rsid w:val="0059487C"/>
    <w:rsid w:val="00594B41"/>
    <w:rsid w:val="00594FF3"/>
    <w:rsid w:val="005951C9"/>
    <w:rsid w:val="0059546D"/>
    <w:rsid w:val="0059567F"/>
    <w:rsid w:val="00595AB5"/>
    <w:rsid w:val="00595E15"/>
    <w:rsid w:val="00596720"/>
    <w:rsid w:val="00596B96"/>
    <w:rsid w:val="00596E28"/>
    <w:rsid w:val="00597528"/>
    <w:rsid w:val="0059755C"/>
    <w:rsid w:val="0059790F"/>
    <w:rsid w:val="00597C91"/>
    <w:rsid w:val="005A05E5"/>
    <w:rsid w:val="005A1159"/>
    <w:rsid w:val="005A1FA0"/>
    <w:rsid w:val="005A2037"/>
    <w:rsid w:val="005A216B"/>
    <w:rsid w:val="005A21E1"/>
    <w:rsid w:val="005A2D04"/>
    <w:rsid w:val="005A3352"/>
    <w:rsid w:val="005A3566"/>
    <w:rsid w:val="005A364E"/>
    <w:rsid w:val="005A36F2"/>
    <w:rsid w:val="005A3D94"/>
    <w:rsid w:val="005A48AF"/>
    <w:rsid w:val="005A5672"/>
    <w:rsid w:val="005A59DB"/>
    <w:rsid w:val="005A5A7D"/>
    <w:rsid w:val="005A5CC9"/>
    <w:rsid w:val="005A5F88"/>
    <w:rsid w:val="005A601D"/>
    <w:rsid w:val="005A6BB1"/>
    <w:rsid w:val="005A6BC8"/>
    <w:rsid w:val="005A7160"/>
    <w:rsid w:val="005A71F9"/>
    <w:rsid w:val="005A7655"/>
    <w:rsid w:val="005A7A50"/>
    <w:rsid w:val="005A7C64"/>
    <w:rsid w:val="005A7DEB"/>
    <w:rsid w:val="005B0F22"/>
    <w:rsid w:val="005B1734"/>
    <w:rsid w:val="005B1CAD"/>
    <w:rsid w:val="005B22B2"/>
    <w:rsid w:val="005B2371"/>
    <w:rsid w:val="005B23CB"/>
    <w:rsid w:val="005B281F"/>
    <w:rsid w:val="005B3ACC"/>
    <w:rsid w:val="005B3DB9"/>
    <w:rsid w:val="005B42E4"/>
    <w:rsid w:val="005B45DA"/>
    <w:rsid w:val="005B4B99"/>
    <w:rsid w:val="005B5669"/>
    <w:rsid w:val="005B5984"/>
    <w:rsid w:val="005B5A5A"/>
    <w:rsid w:val="005B6B11"/>
    <w:rsid w:val="005B7313"/>
    <w:rsid w:val="005B77B3"/>
    <w:rsid w:val="005C11D6"/>
    <w:rsid w:val="005C185D"/>
    <w:rsid w:val="005C1ADA"/>
    <w:rsid w:val="005C2CA1"/>
    <w:rsid w:val="005C35AC"/>
    <w:rsid w:val="005C3702"/>
    <w:rsid w:val="005C3CF7"/>
    <w:rsid w:val="005C4FE0"/>
    <w:rsid w:val="005C5326"/>
    <w:rsid w:val="005C5DB1"/>
    <w:rsid w:val="005C60CA"/>
    <w:rsid w:val="005C63D2"/>
    <w:rsid w:val="005C65D4"/>
    <w:rsid w:val="005C6662"/>
    <w:rsid w:val="005C6675"/>
    <w:rsid w:val="005C67B0"/>
    <w:rsid w:val="005C6F58"/>
    <w:rsid w:val="005C725F"/>
    <w:rsid w:val="005C7284"/>
    <w:rsid w:val="005C7B0A"/>
    <w:rsid w:val="005C7C30"/>
    <w:rsid w:val="005C7C99"/>
    <w:rsid w:val="005D10C1"/>
    <w:rsid w:val="005D18BC"/>
    <w:rsid w:val="005D1B70"/>
    <w:rsid w:val="005D237C"/>
    <w:rsid w:val="005D30D0"/>
    <w:rsid w:val="005D32FC"/>
    <w:rsid w:val="005D341B"/>
    <w:rsid w:val="005D39EE"/>
    <w:rsid w:val="005D3EFC"/>
    <w:rsid w:val="005D4048"/>
    <w:rsid w:val="005D4FC4"/>
    <w:rsid w:val="005D52AF"/>
    <w:rsid w:val="005D532D"/>
    <w:rsid w:val="005D5794"/>
    <w:rsid w:val="005D57FE"/>
    <w:rsid w:val="005D5D9E"/>
    <w:rsid w:val="005D66F4"/>
    <w:rsid w:val="005D680B"/>
    <w:rsid w:val="005D731A"/>
    <w:rsid w:val="005D7F14"/>
    <w:rsid w:val="005E063E"/>
    <w:rsid w:val="005E12EC"/>
    <w:rsid w:val="005E1EEE"/>
    <w:rsid w:val="005E23CB"/>
    <w:rsid w:val="005E26A0"/>
    <w:rsid w:val="005E309B"/>
    <w:rsid w:val="005E37A5"/>
    <w:rsid w:val="005E4D60"/>
    <w:rsid w:val="005E56F6"/>
    <w:rsid w:val="005E5B09"/>
    <w:rsid w:val="005E5E7C"/>
    <w:rsid w:val="005E618C"/>
    <w:rsid w:val="005E6435"/>
    <w:rsid w:val="005E69A6"/>
    <w:rsid w:val="005E6E10"/>
    <w:rsid w:val="005E6FAE"/>
    <w:rsid w:val="005E6FEC"/>
    <w:rsid w:val="005E79FE"/>
    <w:rsid w:val="005F0874"/>
    <w:rsid w:val="005F0F73"/>
    <w:rsid w:val="005F1479"/>
    <w:rsid w:val="005F166C"/>
    <w:rsid w:val="005F1E3D"/>
    <w:rsid w:val="005F1FFC"/>
    <w:rsid w:val="005F2375"/>
    <w:rsid w:val="005F23EB"/>
    <w:rsid w:val="005F2822"/>
    <w:rsid w:val="005F34E6"/>
    <w:rsid w:val="005F3746"/>
    <w:rsid w:val="005F3C80"/>
    <w:rsid w:val="005F3DF2"/>
    <w:rsid w:val="005F41DF"/>
    <w:rsid w:val="005F4B3A"/>
    <w:rsid w:val="005F535D"/>
    <w:rsid w:val="005F54C0"/>
    <w:rsid w:val="005F54D9"/>
    <w:rsid w:val="005F5997"/>
    <w:rsid w:val="005F5AC0"/>
    <w:rsid w:val="005F636E"/>
    <w:rsid w:val="005F6BE3"/>
    <w:rsid w:val="005F707D"/>
    <w:rsid w:val="005F7C2D"/>
    <w:rsid w:val="006000B3"/>
    <w:rsid w:val="00600908"/>
    <w:rsid w:val="006025C7"/>
    <w:rsid w:val="006026B2"/>
    <w:rsid w:val="00602769"/>
    <w:rsid w:val="00602E1B"/>
    <w:rsid w:val="00602FE6"/>
    <w:rsid w:val="00603560"/>
    <w:rsid w:val="00603953"/>
    <w:rsid w:val="00604DAF"/>
    <w:rsid w:val="00605547"/>
    <w:rsid w:val="0060591E"/>
    <w:rsid w:val="00605CBC"/>
    <w:rsid w:val="00606270"/>
    <w:rsid w:val="00606546"/>
    <w:rsid w:val="00606734"/>
    <w:rsid w:val="00607288"/>
    <w:rsid w:val="00607554"/>
    <w:rsid w:val="006075C5"/>
    <w:rsid w:val="0061014B"/>
    <w:rsid w:val="006103B8"/>
    <w:rsid w:val="00610828"/>
    <w:rsid w:val="00610CF2"/>
    <w:rsid w:val="0061170A"/>
    <w:rsid w:val="0061197F"/>
    <w:rsid w:val="0061298F"/>
    <w:rsid w:val="00612E8F"/>
    <w:rsid w:val="00612FDA"/>
    <w:rsid w:val="00613522"/>
    <w:rsid w:val="00613A65"/>
    <w:rsid w:val="00613EE9"/>
    <w:rsid w:val="006151AE"/>
    <w:rsid w:val="0061542A"/>
    <w:rsid w:val="0061591C"/>
    <w:rsid w:val="00615B2C"/>
    <w:rsid w:val="00616813"/>
    <w:rsid w:val="00616B3E"/>
    <w:rsid w:val="00617689"/>
    <w:rsid w:val="006178CE"/>
    <w:rsid w:val="00617ADE"/>
    <w:rsid w:val="00617B05"/>
    <w:rsid w:val="00617B7A"/>
    <w:rsid w:val="0062055E"/>
    <w:rsid w:val="006216E5"/>
    <w:rsid w:val="00621B7F"/>
    <w:rsid w:val="0062209A"/>
    <w:rsid w:val="006226B0"/>
    <w:rsid w:val="00622757"/>
    <w:rsid w:val="0062277A"/>
    <w:rsid w:val="006232BB"/>
    <w:rsid w:val="006233B5"/>
    <w:rsid w:val="00623522"/>
    <w:rsid w:val="006237FE"/>
    <w:rsid w:val="00623BFF"/>
    <w:rsid w:val="0062447C"/>
    <w:rsid w:val="006245FF"/>
    <w:rsid w:val="00625D77"/>
    <w:rsid w:val="006264FA"/>
    <w:rsid w:val="0062657E"/>
    <w:rsid w:val="006266A4"/>
    <w:rsid w:val="00626AC1"/>
    <w:rsid w:val="00626BFC"/>
    <w:rsid w:val="006273A6"/>
    <w:rsid w:val="00627991"/>
    <w:rsid w:val="00627CE0"/>
    <w:rsid w:val="00627F29"/>
    <w:rsid w:val="0063092E"/>
    <w:rsid w:val="006319AD"/>
    <w:rsid w:val="00631A36"/>
    <w:rsid w:val="00631D3D"/>
    <w:rsid w:val="00632034"/>
    <w:rsid w:val="00633170"/>
    <w:rsid w:val="00633514"/>
    <w:rsid w:val="0063366E"/>
    <w:rsid w:val="00633C10"/>
    <w:rsid w:val="00633E73"/>
    <w:rsid w:val="006344BC"/>
    <w:rsid w:val="006346AA"/>
    <w:rsid w:val="006354E0"/>
    <w:rsid w:val="00635516"/>
    <w:rsid w:val="006357DB"/>
    <w:rsid w:val="00635B80"/>
    <w:rsid w:val="00636131"/>
    <w:rsid w:val="00636D7F"/>
    <w:rsid w:val="00637072"/>
    <w:rsid w:val="0063711C"/>
    <w:rsid w:val="00637245"/>
    <w:rsid w:val="00637477"/>
    <w:rsid w:val="00637870"/>
    <w:rsid w:val="00637AD3"/>
    <w:rsid w:val="00640684"/>
    <w:rsid w:val="00640BF2"/>
    <w:rsid w:val="00640CF6"/>
    <w:rsid w:val="006413F2"/>
    <w:rsid w:val="00641C4F"/>
    <w:rsid w:val="00641D6D"/>
    <w:rsid w:val="006427D5"/>
    <w:rsid w:val="006428EB"/>
    <w:rsid w:val="00642FC3"/>
    <w:rsid w:val="006444D9"/>
    <w:rsid w:val="00644C77"/>
    <w:rsid w:val="00645BC5"/>
    <w:rsid w:val="00646117"/>
    <w:rsid w:val="006463C8"/>
    <w:rsid w:val="006468C1"/>
    <w:rsid w:val="00646BC7"/>
    <w:rsid w:val="00646D6E"/>
    <w:rsid w:val="00646E2A"/>
    <w:rsid w:val="00646EF0"/>
    <w:rsid w:val="0064743B"/>
    <w:rsid w:val="00647B0E"/>
    <w:rsid w:val="006501FC"/>
    <w:rsid w:val="00650A9D"/>
    <w:rsid w:val="00650CCD"/>
    <w:rsid w:val="00650D7E"/>
    <w:rsid w:val="00651019"/>
    <w:rsid w:val="0065182E"/>
    <w:rsid w:val="006519C7"/>
    <w:rsid w:val="00651D00"/>
    <w:rsid w:val="00652889"/>
    <w:rsid w:val="00652A9B"/>
    <w:rsid w:val="0065334D"/>
    <w:rsid w:val="006547AC"/>
    <w:rsid w:val="006552D6"/>
    <w:rsid w:val="00655B01"/>
    <w:rsid w:val="00655B4E"/>
    <w:rsid w:val="00656219"/>
    <w:rsid w:val="00656320"/>
    <w:rsid w:val="00656830"/>
    <w:rsid w:val="00656EF4"/>
    <w:rsid w:val="00656F9E"/>
    <w:rsid w:val="0065751D"/>
    <w:rsid w:val="00657C23"/>
    <w:rsid w:val="00657F02"/>
    <w:rsid w:val="00660834"/>
    <w:rsid w:val="00660BA5"/>
    <w:rsid w:val="006613A7"/>
    <w:rsid w:val="00661924"/>
    <w:rsid w:val="00663AA2"/>
    <w:rsid w:val="00663D65"/>
    <w:rsid w:val="00664BEC"/>
    <w:rsid w:val="00664BFF"/>
    <w:rsid w:val="00664FC1"/>
    <w:rsid w:val="006654E4"/>
    <w:rsid w:val="00666261"/>
    <w:rsid w:val="00666AC3"/>
    <w:rsid w:val="00666BB5"/>
    <w:rsid w:val="0066713A"/>
    <w:rsid w:val="00667565"/>
    <w:rsid w:val="00667E3C"/>
    <w:rsid w:val="00667F1E"/>
    <w:rsid w:val="00670107"/>
    <w:rsid w:val="00670149"/>
    <w:rsid w:val="006720C0"/>
    <w:rsid w:val="006721AC"/>
    <w:rsid w:val="00672AB1"/>
    <w:rsid w:val="00673C94"/>
    <w:rsid w:val="006740D6"/>
    <w:rsid w:val="006743A3"/>
    <w:rsid w:val="00674653"/>
    <w:rsid w:val="006746CF"/>
    <w:rsid w:val="00674A66"/>
    <w:rsid w:val="0067535E"/>
    <w:rsid w:val="0067594E"/>
    <w:rsid w:val="00676019"/>
    <w:rsid w:val="0067695B"/>
    <w:rsid w:val="00676D6E"/>
    <w:rsid w:val="006770C0"/>
    <w:rsid w:val="0067791A"/>
    <w:rsid w:val="00677C6A"/>
    <w:rsid w:val="00677D57"/>
    <w:rsid w:val="00680ABC"/>
    <w:rsid w:val="00680E97"/>
    <w:rsid w:val="0068106A"/>
    <w:rsid w:val="00681422"/>
    <w:rsid w:val="006819FB"/>
    <w:rsid w:val="00682B17"/>
    <w:rsid w:val="00684390"/>
    <w:rsid w:val="006846C4"/>
    <w:rsid w:val="00685DBF"/>
    <w:rsid w:val="0068650D"/>
    <w:rsid w:val="00686871"/>
    <w:rsid w:val="00686D8E"/>
    <w:rsid w:val="006876B6"/>
    <w:rsid w:val="00687C0A"/>
    <w:rsid w:val="006900C7"/>
    <w:rsid w:val="00690400"/>
    <w:rsid w:val="00690675"/>
    <w:rsid w:val="00690777"/>
    <w:rsid w:val="00690F2D"/>
    <w:rsid w:val="0069102E"/>
    <w:rsid w:val="0069129D"/>
    <w:rsid w:val="00691DE5"/>
    <w:rsid w:val="00692459"/>
    <w:rsid w:val="006928B3"/>
    <w:rsid w:val="00692D8C"/>
    <w:rsid w:val="00692EBE"/>
    <w:rsid w:val="006935BA"/>
    <w:rsid w:val="006940EA"/>
    <w:rsid w:val="00694DF7"/>
    <w:rsid w:val="006950F9"/>
    <w:rsid w:val="006954DF"/>
    <w:rsid w:val="006954FF"/>
    <w:rsid w:val="00695B7B"/>
    <w:rsid w:val="006964CD"/>
    <w:rsid w:val="006965FC"/>
    <w:rsid w:val="0069690C"/>
    <w:rsid w:val="00696964"/>
    <w:rsid w:val="00696E7C"/>
    <w:rsid w:val="006A0513"/>
    <w:rsid w:val="006A105A"/>
    <w:rsid w:val="006A13B6"/>
    <w:rsid w:val="006A160A"/>
    <w:rsid w:val="006A1881"/>
    <w:rsid w:val="006A1ECB"/>
    <w:rsid w:val="006A25BF"/>
    <w:rsid w:val="006A2B9D"/>
    <w:rsid w:val="006A2F56"/>
    <w:rsid w:val="006A3322"/>
    <w:rsid w:val="006A3477"/>
    <w:rsid w:val="006A421A"/>
    <w:rsid w:val="006A42F3"/>
    <w:rsid w:val="006A4458"/>
    <w:rsid w:val="006A446E"/>
    <w:rsid w:val="006A458A"/>
    <w:rsid w:val="006A4A25"/>
    <w:rsid w:val="006A4B24"/>
    <w:rsid w:val="006A4C2C"/>
    <w:rsid w:val="006A5A36"/>
    <w:rsid w:val="006A7018"/>
    <w:rsid w:val="006A76C1"/>
    <w:rsid w:val="006B0A94"/>
    <w:rsid w:val="006B2F99"/>
    <w:rsid w:val="006B3B6E"/>
    <w:rsid w:val="006B3FB0"/>
    <w:rsid w:val="006B4892"/>
    <w:rsid w:val="006B4939"/>
    <w:rsid w:val="006B4B19"/>
    <w:rsid w:val="006B572D"/>
    <w:rsid w:val="006B574B"/>
    <w:rsid w:val="006B57A2"/>
    <w:rsid w:val="006B6ACF"/>
    <w:rsid w:val="006B6D43"/>
    <w:rsid w:val="006B719C"/>
    <w:rsid w:val="006B7A37"/>
    <w:rsid w:val="006B7AD9"/>
    <w:rsid w:val="006C0469"/>
    <w:rsid w:val="006C0684"/>
    <w:rsid w:val="006C1075"/>
    <w:rsid w:val="006C10BF"/>
    <w:rsid w:val="006C18F2"/>
    <w:rsid w:val="006C1987"/>
    <w:rsid w:val="006C1FF1"/>
    <w:rsid w:val="006C228E"/>
    <w:rsid w:val="006C4105"/>
    <w:rsid w:val="006C4158"/>
    <w:rsid w:val="006C4699"/>
    <w:rsid w:val="006C4837"/>
    <w:rsid w:val="006C4999"/>
    <w:rsid w:val="006C5DE5"/>
    <w:rsid w:val="006C6222"/>
    <w:rsid w:val="006C66BE"/>
    <w:rsid w:val="006C6818"/>
    <w:rsid w:val="006C6F1C"/>
    <w:rsid w:val="006C7342"/>
    <w:rsid w:val="006C7DBB"/>
    <w:rsid w:val="006D05EE"/>
    <w:rsid w:val="006D09B5"/>
    <w:rsid w:val="006D13C2"/>
    <w:rsid w:val="006D19ED"/>
    <w:rsid w:val="006D2CBF"/>
    <w:rsid w:val="006D3249"/>
    <w:rsid w:val="006D33C1"/>
    <w:rsid w:val="006D4396"/>
    <w:rsid w:val="006D466F"/>
    <w:rsid w:val="006D4742"/>
    <w:rsid w:val="006D4B4A"/>
    <w:rsid w:val="006D53FF"/>
    <w:rsid w:val="006D5520"/>
    <w:rsid w:val="006D67B6"/>
    <w:rsid w:val="006E04CC"/>
    <w:rsid w:val="006E0AEC"/>
    <w:rsid w:val="006E0C0C"/>
    <w:rsid w:val="006E0C45"/>
    <w:rsid w:val="006E0EBA"/>
    <w:rsid w:val="006E12A7"/>
    <w:rsid w:val="006E15F5"/>
    <w:rsid w:val="006E1CDF"/>
    <w:rsid w:val="006E1F05"/>
    <w:rsid w:val="006E2677"/>
    <w:rsid w:val="006E2A9D"/>
    <w:rsid w:val="006E34C5"/>
    <w:rsid w:val="006E46C2"/>
    <w:rsid w:val="006E4A90"/>
    <w:rsid w:val="006E4BC8"/>
    <w:rsid w:val="006E507D"/>
    <w:rsid w:val="006E569D"/>
    <w:rsid w:val="006E5ABE"/>
    <w:rsid w:val="006E6519"/>
    <w:rsid w:val="006E6D8C"/>
    <w:rsid w:val="006E6F7A"/>
    <w:rsid w:val="006E75B6"/>
    <w:rsid w:val="006E79D1"/>
    <w:rsid w:val="006E7E61"/>
    <w:rsid w:val="006F06D6"/>
    <w:rsid w:val="006F0D1F"/>
    <w:rsid w:val="006F143C"/>
    <w:rsid w:val="006F17B1"/>
    <w:rsid w:val="006F1B55"/>
    <w:rsid w:val="006F20A6"/>
    <w:rsid w:val="006F2BD2"/>
    <w:rsid w:val="006F2D2F"/>
    <w:rsid w:val="006F325A"/>
    <w:rsid w:val="006F4B09"/>
    <w:rsid w:val="006F4BE4"/>
    <w:rsid w:val="006F5184"/>
    <w:rsid w:val="006F54AF"/>
    <w:rsid w:val="006F564D"/>
    <w:rsid w:val="006F6202"/>
    <w:rsid w:val="006F68AC"/>
    <w:rsid w:val="006F7050"/>
    <w:rsid w:val="006F772A"/>
    <w:rsid w:val="0070014A"/>
    <w:rsid w:val="007006DF"/>
    <w:rsid w:val="00700709"/>
    <w:rsid w:val="00701BBC"/>
    <w:rsid w:val="007020AD"/>
    <w:rsid w:val="007026C9"/>
    <w:rsid w:val="00702A39"/>
    <w:rsid w:val="00702B63"/>
    <w:rsid w:val="0070332F"/>
    <w:rsid w:val="007033DC"/>
    <w:rsid w:val="00703625"/>
    <w:rsid w:val="007038B6"/>
    <w:rsid w:val="00703FA9"/>
    <w:rsid w:val="00704367"/>
    <w:rsid w:val="0070495A"/>
    <w:rsid w:val="00705AA6"/>
    <w:rsid w:val="007063F8"/>
    <w:rsid w:val="007067A0"/>
    <w:rsid w:val="007068E4"/>
    <w:rsid w:val="00706975"/>
    <w:rsid w:val="007070B0"/>
    <w:rsid w:val="00707B65"/>
    <w:rsid w:val="00707CEE"/>
    <w:rsid w:val="00707E19"/>
    <w:rsid w:val="00707F7F"/>
    <w:rsid w:val="0071014C"/>
    <w:rsid w:val="007104E9"/>
    <w:rsid w:val="00710EEC"/>
    <w:rsid w:val="007117D7"/>
    <w:rsid w:val="007128A8"/>
    <w:rsid w:val="0071337C"/>
    <w:rsid w:val="00713B24"/>
    <w:rsid w:val="00713C54"/>
    <w:rsid w:val="00713E53"/>
    <w:rsid w:val="00713E86"/>
    <w:rsid w:val="00714016"/>
    <w:rsid w:val="0071435D"/>
    <w:rsid w:val="00714B51"/>
    <w:rsid w:val="00715706"/>
    <w:rsid w:val="00715C55"/>
    <w:rsid w:val="00715EBF"/>
    <w:rsid w:val="00716BFB"/>
    <w:rsid w:val="00716EF9"/>
    <w:rsid w:val="00717908"/>
    <w:rsid w:val="0072065B"/>
    <w:rsid w:val="00720A1E"/>
    <w:rsid w:val="00720FDF"/>
    <w:rsid w:val="00721071"/>
    <w:rsid w:val="00721AAE"/>
    <w:rsid w:val="00721FA6"/>
    <w:rsid w:val="0072249F"/>
    <w:rsid w:val="007227EA"/>
    <w:rsid w:val="00722CB7"/>
    <w:rsid w:val="00722D2C"/>
    <w:rsid w:val="00723B13"/>
    <w:rsid w:val="00723D99"/>
    <w:rsid w:val="00724559"/>
    <w:rsid w:val="00724900"/>
    <w:rsid w:val="00725C32"/>
    <w:rsid w:val="00725E7D"/>
    <w:rsid w:val="00726181"/>
    <w:rsid w:val="00726923"/>
    <w:rsid w:val="00727CAB"/>
    <w:rsid w:val="0073035F"/>
    <w:rsid w:val="007304E8"/>
    <w:rsid w:val="007313E3"/>
    <w:rsid w:val="00731A57"/>
    <w:rsid w:val="00731AB3"/>
    <w:rsid w:val="0073289B"/>
    <w:rsid w:val="00732AE2"/>
    <w:rsid w:val="00732D3D"/>
    <w:rsid w:val="007337BF"/>
    <w:rsid w:val="00735336"/>
    <w:rsid w:val="00735AF3"/>
    <w:rsid w:val="00735C11"/>
    <w:rsid w:val="00735E9F"/>
    <w:rsid w:val="00736A75"/>
    <w:rsid w:val="00736BEC"/>
    <w:rsid w:val="00737398"/>
    <w:rsid w:val="007375B2"/>
    <w:rsid w:val="0073793C"/>
    <w:rsid w:val="00737A13"/>
    <w:rsid w:val="00737A3D"/>
    <w:rsid w:val="00737BEE"/>
    <w:rsid w:val="0074017D"/>
    <w:rsid w:val="0074037E"/>
    <w:rsid w:val="007404B4"/>
    <w:rsid w:val="00740FDD"/>
    <w:rsid w:val="0074109B"/>
    <w:rsid w:val="007411F2"/>
    <w:rsid w:val="0074121E"/>
    <w:rsid w:val="0074209D"/>
    <w:rsid w:val="007422C3"/>
    <w:rsid w:val="00742652"/>
    <w:rsid w:val="00743017"/>
    <w:rsid w:val="00743189"/>
    <w:rsid w:val="00743449"/>
    <w:rsid w:val="0074353E"/>
    <w:rsid w:val="007437CC"/>
    <w:rsid w:val="00743999"/>
    <w:rsid w:val="00744001"/>
    <w:rsid w:val="0074522C"/>
    <w:rsid w:val="00745C6B"/>
    <w:rsid w:val="007463EF"/>
    <w:rsid w:val="00746516"/>
    <w:rsid w:val="00746905"/>
    <w:rsid w:val="007469DF"/>
    <w:rsid w:val="00746B8A"/>
    <w:rsid w:val="00746DB5"/>
    <w:rsid w:val="007474C2"/>
    <w:rsid w:val="00747601"/>
    <w:rsid w:val="00747B68"/>
    <w:rsid w:val="00750184"/>
    <w:rsid w:val="00750BD1"/>
    <w:rsid w:val="007515B5"/>
    <w:rsid w:val="00752682"/>
    <w:rsid w:val="00753139"/>
    <w:rsid w:val="00753F2A"/>
    <w:rsid w:val="00754C30"/>
    <w:rsid w:val="007556AE"/>
    <w:rsid w:val="007557BC"/>
    <w:rsid w:val="00756028"/>
    <w:rsid w:val="0075616F"/>
    <w:rsid w:val="0075644B"/>
    <w:rsid w:val="0075737D"/>
    <w:rsid w:val="0075738C"/>
    <w:rsid w:val="007574CB"/>
    <w:rsid w:val="007574E1"/>
    <w:rsid w:val="00757683"/>
    <w:rsid w:val="0075768D"/>
    <w:rsid w:val="00757B6A"/>
    <w:rsid w:val="007605EE"/>
    <w:rsid w:val="00760945"/>
    <w:rsid w:val="00760C7E"/>
    <w:rsid w:val="0076120C"/>
    <w:rsid w:val="007613C7"/>
    <w:rsid w:val="0076149D"/>
    <w:rsid w:val="0076170E"/>
    <w:rsid w:val="00761B20"/>
    <w:rsid w:val="007629D8"/>
    <w:rsid w:val="00763157"/>
    <w:rsid w:val="00763574"/>
    <w:rsid w:val="00763891"/>
    <w:rsid w:val="007645CD"/>
    <w:rsid w:val="00764985"/>
    <w:rsid w:val="00764CE9"/>
    <w:rsid w:val="0076504E"/>
    <w:rsid w:val="0076518A"/>
    <w:rsid w:val="00765301"/>
    <w:rsid w:val="007653F2"/>
    <w:rsid w:val="0076558D"/>
    <w:rsid w:val="00765DE6"/>
    <w:rsid w:val="007661BA"/>
    <w:rsid w:val="0076657C"/>
    <w:rsid w:val="00766F49"/>
    <w:rsid w:val="00767516"/>
    <w:rsid w:val="00767595"/>
    <w:rsid w:val="007679F9"/>
    <w:rsid w:val="00770A01"/>
    <w:rsid w:val="007714C8"/>
    <w:rsid w:val="00771526"/>
    <w:rsid w:val="007729E6"/>
    <w:rsid w:val="00773786"/>
    <w:rsid w:val="007737D0"/>
    <w:rsid w:val="00773D97"/>
    <w:rsid w:val="00773DA5"/>
    <w:rsid w:val="00774CAC"/>
    <w:rsid w:val="00774E48"/>
    <w:rsid w:val="00774FB7"/>
    <w:rsid w:val="0077539A"/>
    <w:rsid w:val="007759B4"/>
    <w:rsid w:val="00775D41"/>
    <w:rsid w:val="00776230"/>
    <w:rsid w:val="007764AF"/>
    <w:rsid w:val="00776B7E"/>
    <w:rsid w:val="00777CBB"/>
    <w:rsid w:val="00777E40"/>
    <w:rsid w:val="00780378"/>
    <w:rsid w:val="00780621"/>
    <w:rsid w:val="007808CF"/>
    <w:rsid w:val="00780EE4"/>
    <w:rsid w:val="007827FC"/>
    <w:rsid w:val="00782E00"/>
    <w:rsid w:val="007832CC"/>
    <w:rsid w:val="00783C2E"/>
    <w:rsid w:val="00783EB7"/>
    <w:rsid w:val="00784497"/>
    <w:rsid w:val="00784679"/>
    <w:rsid w:val="007851DF"/>
    <w:rsid w:val="00785203"/>
    <w:rsid w:val="00785BFA"/>
    <w:rsid w:val="007868C8"/>
    <w:rsid w:val="00786D90"/>
    <w:rsid w:val="007879FF"/>
    <w:rsid w:val="00787A78"/>
    <w:rsid w:val="00787F4D"/>
    <w:rsid w:val="0079024F"/>
    <w:rsid w:val="00790FD0"/>
    <w:rsid w:val="0079157E"/>
    <w:rsid w:val="00792242"/>
    <w:rsid w:val="0079293A"/>
    <w:rsid w:val="00792B22"/>
    <w:rsid w:val="0079386E"/>
    <w:rsid w:val="00794125"/>
    <w:rsid w:val="00794302"/>
    <w:rsid w:val="00794F66"/>
    <w:rsid w:val="0079771E"/>
    <w:rsid w:val="00797791"/>
    <w:rsid w:val="007979F3"/>
    <w:rsid w:val="00797C37"/>
    <w:rsid w:val="00797D26"/>
    <w:rsid w:val="007A06C6"/>
    <w:rsid w:val="007A08A4"/>
    <w:rsid w:val="007A1059"/>
    <w:rsid w:val="007A1384"/>
    <w:rsid w:val="007A158C"/>
    <w:rsid w:val="007A1FBC"/>
    <w:rsid w:val="007A28A5"/>
    <w:rsid w:val="007A296A"/>
    <w:rsid w:val="007A3629"/>
    <w:rsid w:val="007A4915"/>
    <w:rsid w:val="007A4E3F"/>
    <w:rsid w:val="007A5437"/>
    <w:rsid w:val="007A5886"/>
    <w:rsid w:val="007A5ADC"/>
    <w:rsid w:val="007A5FA5"/>
    <w:rsid w:val="007A659F"/>
    <w:rsid w:val="007A675D"/>
    <w:rsid w:val="007A71D1"/>
    <w:rsid w:val="007A73FB"/>
    <w:rsid w:val="007A77F6"/>
    <w:rsid w:val="007A7F78"/>
    <w:rsid w:val="007B0312"/>
    <w:rsid w:val="007B169B"/>
    <w:rsid w:val="007B16DA"/>
    <w:rsid w:val="007B1B15"/>
    <w:rsid w:val="007B2B66"/>
    <w:rsid w:val="007B2C9A"/>
    <w:rsid w:val="007B30FE"/>
    <w:rsid w:val="007B323C"/>
    <w:rsid w:val="007B3E91"/>
    <w:rsid w:val="007B4C9A"/>
    <w:rsid w:val="007B5F78"/>
    <w:rsid w:val="007B6324"/>
    <w:rsid w:val="007B64C1"/>
    <w:rsid w:val="007B6535"/>
    <w:rsid w:val="007B6963"/>
    <w:rsid w:val="007B6B83"/>
    <w:rsid w:val="007B6DAC"/>
    <w:rsid w:val="007B7C33"/>
    <w:rsid w:val="007C0106"/>
    <w:rsid w:val="007C0F16"/>
    <w:rsid w:val="007C1315"/>
    <w:rsid w:val="007C1EB7"/>
    <w:rsid w:val="007C211F"/>
    <w:rsid w:val="007C2372"/>
    <w:rsid w:val="007C375E"/>
    <w:rsid w:val="007C3856"/>
    <w:rsid w:val="007C388D"/>
    <w:rsid w:val="007C3B93"/>
    <w:rsid w:val="007C4773"/>
    <w:rsid w:val="007C4CEA"/>
    <w:rsid w:val="007C5EE3"/>
    <w:rsid w:val="007C63CC"/>
    <w:rsid w:val="007C6904"/>
    <w:rsid w:val="007C6DE7"/>
    <w:rsid w:val="007C7772"/>
    <w:rsid w:val="007C7D3F"/>
    <w:rsid w:val="007D073A"/>
    <w:rsid w:val="007D0924"/>
    <w:rsid w:val="007D0BE6"/>
    <w:rsid w:val="007D1BCA"/>
    <w:rsid w:val="007D279A"/>
    <w:rsid w:val="007D459F"/>
    <w:rsid w:val="007D47AB"/>
    <w:rsid w:val="007D4A82"/>
    <w:rsid w:val="007D5F9C"/>
    <w:rsid w:val="007D6039"/>
    <w:rsid w:val="007D608A"/>
    <w:rsid w:val="007D6A94"/>
    <w:rsid w:val="007D7018"/>
    <w:rsid w:val="007E0685"/>
    <w:rsid w:val="007E0C6A"/>
    <w:rsid w:val="007E0F88"/>
    <w:rsid w:val="007E1118"/>
    <w:rsid w:val="007E1652"/>
    <w:rsid w:val="007E17C6"/>
    <w:rsid w:val="007E1AD9"/>
    <w:rsid w:val="007E1D98"/>
    <w:rsid w:val="007E2E14"/>
    <w:rsid w:val="007E402B"/>
    <w:rsid w:val="007E47CF"/>
    <w:rsid w:val="007E5701"/>
    <w:rsid w:val="007E5BE1"/>
    <w:rsid w:val="007E6585"/>
    <w:rsid w:val="007E67D7"/>
    <w:rsid w:val="007E77FA"/>
    <w:rsid w:val="007E7AC1"/>
    <w:rsid w:val="007F0474"/>
    <w:rsid w:val="007F0D11"/>
    <w:rsid w:val="007F14FE"/>
    <w:rsid w:val="007F153A"/>
    <w:rsid w:val="007F1AAE"/>
    <w:rsid w:val="007F1D54"/>
    <w:rsid w:val="007F2560"/>
    <w:rsid w:val="007F25CF"/>
    <w:rsid w:val="007F2A2E"/>
    <w:rsid w:val="007F2B56"/>
    <w:rsid w:val="007F3046"/>
    <w:rsid w:val="007F35DA"/>
    <w:rsid w:val="007F452C"/>
    <w:rsid w:val="007F56FB"/>
    <w:rsid w:val="007F6907"/>
    <w:rsid w:val="007F7019"/>
    <w:rsid w:val="007F713E"/>
    <w:rsid w:val="007F7C61"/>
    <w:rsid w:val="0080059C"/>
    <w:rsid w:val="00800DC2"/>
    <w:rsid w:val="00801300"/>
    <w:rsid w:val="0080186D"/>
    <w:rsid w:val="00801E50"/>
    <w:rsid w:val="00802411"/>
    <w:rsid w:val="00802761"/>
    <w:rsid w:val="00803890"/>
    <w:rsid w:val="00803B87"/>
    <w:rsid w:val="00803E5D"/>
    <w:rsid w:val="00804463"/>
    <w:rsid w:val="008049B1"/>
    <w:rsid w:val="008050CA"/>
    <w:rsid w:val="008051A4"/>
    <w:rsid w:val="0080571D"/>
    <w:rsid w:val="008059D2"/>
    <w:rsid w:val="00805B55"/>
    <w:rsid w:val="00805FE4"/>
    <w:rsid w:val="00806292"/>
    <w:rsid w:val="00806D2F"/>
    <w:rsid w:val="00807533"/>
    <w:rsid w:val="00807FB7"/>
    <w:rsid w:val="0081031D"/>
    <w:rsid w:val="008104CA"/>
    <w:rsid w:val="00810A48"/>
    <w:rsid w:val="00810E79"/>
    <w:rsid w:val="00811290"/>
    <w:rsid w:val="00811416"/>
    <w:rsid w:val="0081369B"/>
    <w:rsid w:val="00813E4E"/>
    <w:rsid w:val="008141A1"/>
    <w:rsid w:val="0081481A"/>
    <w:rsid w:val="00814824"/>
    <w:rsid w:val="00814C0E"/>
    <w:rsid w:val="00814C26"/>
    <w:rsid w:val="00814CB0"/>
    <w:rsid w:val="0081622C"/>
    <w:rsid w:val="0081663B"/>
    <w:rsid w:val="00817B6D"/>
    <w:rsid w:val="00820927"/>
    <w:rsid w:val="00820951"/>
    <w:rsid w:val="008213FA"/>
    <w:rsid w:val="00821F2C"/>
    <w:rsid w:val="008227AD"/>
    <w:rsid w:val="0082392C"/>
    <w:rsid w:val="00823C87"/>
    <w:rsid w:val="00824EB9"/>
    <w:rsid w:val="0082521D"/>
    <w:rsid w:val="0082522F"/>
    <w:rsid w:val="00825DD9"/>
    <w:rsid w:val="0082676D"/>
    <w:rsid w:val="008276A4"/>
    <w:rsid w:val="00827BF6"/>
    <w:rsid w:val="008301B8"/>
    <w:rsid w:val="0083108F"/>
    <w:rsid w:val="008315C1"/>
    <w:rsid w:val="008318A9"/>
    <w:rsid w:val="008321A4"/>
    <w:rsid w:val="0083269B"/>
    <w:rsid w:val="00832770"/>
    <w:rsid w:val="00832933"/>
    <w:rsid w:val="008333A3"/>
    <w:rsid w:val="008333D9"/>
    <w:rsid w:val="0083352B"/>
    <w:rsid w:val="0083376F"/>
    <w:rsid w:val="00833908"/>
    <w:rsid w:val="00833A5B"/>
    <w:rsid w:val="00833BE8"/>
    <w:rsid w:val="00834525"/>
    <w:rsid w:val="0083489F"/>
    <w:rsid w:val="00834B66"/>
    <w:rsid w:val="00835772"/>
    <w:rsid w:val="00835919"/>
    <w:rsid w:val="00835B32"/>
    <w:rsid w:val="00835BB1"/>
    <w:rsid w:val="008361D3"/>
    <w:rsid w:val="008362BF"/>
    <w:rsid w:val="008369B8"/>
    <w:rsid w:val="008370F5"/>
    <w:rsid w:val="00837E84"/>
    <w:rsid w:val="00837FE4"/>
    <w:rsid w:val="008400B3"/>
    <w:rsid w:val="008406D5"/>
    <w:rsid w:val="00840E06"/>
    <w:rsid w:val="00841261"/>
    <w:rsid w:val="00841278"/>
    <w:rsid w:val="008414E5"/>
    <w:rsid w:val="008415B4"/>
    <w:rsid w:val="008415C5"/>
    <w:rsid w:val="008425B3"/>
    <w:rsid w:val="008425B8"/>
    <w:rsid w:val="008430F8"/>
    <w:rsid w:val="0084359F"/>
    <w:rsid w:val="00843E9C"/>
    <w:rsid w:val="00843F42"/>
    <w:rsid w:val="0084433E"/>
    <w:rsid w:val="00844A4E"/>
    <w:rsid w:val="00844B4A"/>
    <w:rsid w:val="00844B94"/>
    <w:rsid w:val="00844DBA"/>
    <w:rsid w:val="00844EA7"/>
    <w:rsid w:val="008455AE"/>
    <w:rsid w:val="0084594E"/>
    <w:rsid w:val="00845C74"/>
    <w:rsid w:val="00846024"/>
    <w:rsid w:val="00846260"/>
    <w:rsid w:val="008463A8"/>
    <w:rsid w:val="0084644B"/>
    <w:rsid w:val="0084676E"/>
    <w:rsid w:val="00846924"/>
    <w:rsid w:val="0084719A"/>
    <w:rsid w:val="00847C91"/>
    <w:rsid w:val="00850114"/>
    <w:rsid w:val="00850167"/>
    <w:rsid w:val="00850734"/>
    <w:rsid w:val="00850B71"/>
    <w:rsid w:val="00850F2D"/>
    <w:rsid w:val="008511DC"/>
    <w:rsid w:val="00851221"/>
    <w:rsid w:val="008514F5"/>
    <w:rsid w:val="0085158C"/>
    <w:rsid w:val="0085238F"/>
    <w:rsid w:val="0085294C"/>
    <w:rsid w:val="0085367C"/>
    <w:rsid w:val="0085393F"/>
    <w:rsid w:val="00853A17"/>
    <w:rsid w:val="00853B6D"/>
    <w:rsid w:val="00853EB5"/>
    <w:rsid w:val="00854DF9"/>
    <w:rsid w:val="00854F47"/>
    <w:rsid w:val="0085538C"/>
    <w:rsid w:val="00855539"/>
    <w:rsid w:val="008556C1"/>
    <w:rsid w:val="00855C56"/>
    <w:rsid w:val="00855F6F"/>
    <w:rsid w:val="00856570"/>
    <w:rsid w:val="008565DD"/>
    <w:rsid w:val="00856CB0"/>
    <w:rsid w:val="00856ECA"/>
    <w:rsid w:val="00857958"/>
    <w:rsid w:val="00857BD6"/>
    <w:rsid w:val="00857C90"/>
    <w:rsid w:val="0086160E"/>
    <w:rsid w:val="0086164C"/>
    <w:rsid w:val="00861D4D"/>
    <w:rsid w:val="00863087"/>
    <w:rsid w:val="0086308A"/>
    <w:rsid w:val="00863262"/>
    <w:rsid w:val="008637D1"/>
    <w:rsid w:val="00863BA5"/>
    <w:rsid w:val="00863FEC"/>
    <w:rsid w:val="00864664"/>
    <w:rsid w:val="008647B1"/>
    <w:rsid w:val="008648B3"/>
    <w:rsid w:val="00864F8A"/>
    <w:rsid w:val="00866713"/>
    <w:rsid w:val="0086683E"/>
    <w:rsid w:val="0086686C"/>
    <w:rsid w:val="0087072B"/>
    <w:rsid w:val="008707A8"/>
    <w:rsid w:val="00871187"/>
    <w:rsid w:val="008711D0"/>
    <w:rsid w:val="00871268"/>
    <w:rsid w:val="00871308"/>
    <w:rsid w:val="008721A3"/>
    <w:rsid w:val="00872F89"/>
    <w:rsid w:val="0087301E"/>
    <w:rsid w:val="00873F89"/>
    <w:rsid w:val="00874A69"/>
    <w:rsid w:val="00875CB8"/>
    <w:rsid w:val="00875D39"/>
    <w:rsid w:val="00876AEB"/>
    <w:rsid w:val="00880126"/>
    <w:rsid w:val="00880C87"/>
    <w:rsid w:val="008816D7"/>
    <w:rsid w:val="008819F3"/>
    <w:rsid w:val="00881A43"/>
    <w:rsid w:val="00881AC9"/>
    <w:rsid w:val="00881C7A"/>
    <w:rsid w:val="00881E8D"/>
    <w:rsid w:val="00882163"/>
    <w:rsid w:val="008825CF"/>
    <w:rsid w:val="00882B2F"/>
    <w:rsid w:val="008838A1"/>
    <w:rsid w:val="00883BED"/>
    <w:rsid w:val="00883E3E"/>
    <w:rsid w:val="0088460A"/>
    <w:rsid w:val="00884CA8"/>
    <w:rsid w:val="008850AC"/>
    <w:rsid w:val="00885B73"/>
    <w:rsid w:val="00885DB6"/>
    <w:rsid w:val="00886772"/>
    <w:rsid w:val="008868CF"/>
    <w:rsid w:val="00886B40"/>
    <w:rsid w:val="00886DF3"/>
    <w:rsid w:val="00887024"/>
    <w:rsid w:val="008871EB"/>
    <w:rsid w:val="00887353"/>
    <w:rsid w:val="008879D0"/>
    <w:rsid w:val="00887AA1"/>
    <w:rsid w:val="00887D12"/>
    <w:rsid w:val="00890D5B"/>
    <w:rsid w:val="008916A0"/>
    <w:rsid w:val="008918C9"/>
    <w:rsid w:val="00892C3B"/>
    <w:rsid w:val="00892C4B"/>
    <w:rsid w:val="00892E2F"/>
    <w:rsid w:val="008930B3"/>
    <w:rsid w:val="0089332F"/>
    <w:rsid w:val="00893353"/>
    <w:rsid w:val="00893542"/>
    <w:rsid w:val="0089395D"/>
    <w:rsid w:val="00893B0E"/>
    <w:rsid w:val="00893E65"/>
    <w:rsid w:val="0089462F"/>
    <w:rsid w:val="0089492F"/>
    <w:rsid w:val="00894B50"/>
    <w:rsid w:val="00894C0B"/>
    <w:rsid w:val="008955AB"/>
    <w:rsid w:val="0089597C"/>
    <w:rsid w:val="008962C6"/>
    <w:rsid w:val="00896501"/>
    <w:rsid w:val="00896BD9"/>
    <w:rsid w:val="00897245"/>
    <w:rsid w:val="0089764E"/>
    <w:rsid w:val="00897F58"/>
    <w:rsid w:val="008A0EB8"/>
    <w:rsid w:val="008A0ED8"/>
    <w:rsid w:val="008A16B5"/>
    <w:rsid w:val="008A1C34"/>
    <w:rsid w:val="008A1F1F"/>
    <w:rsid w:val="008A1F35"/>
    <w:rsid w:val="008A25DB"/>
    <w:rsid w:val="008A2717"/>
    <w:rsid w:val="008A2890"/>
    <w:rsid w:val="008A293F"/>
    <w:rsid w:val="008A2D23"/>
    <w:rsid w:val="008A2F76"/>
    <w:rsid w:val="008A33AA"/>
    <w:rsid w:val="008A36C5"/>
    <w:rsid w:val="008A4875"/>
    <w:rsid w:val="008A4A6D"/>
    <w:rsid w:val="008A5387"/>
    <w:rsid w:val="008A580E"/>
    <w:rsid w:val="008A65EF"/>
    <w:rsid w:val="008A6704"/>
    <w:rsid w:val="008A6A5B"/>
    <w:rsid w:val="008A6F80"/>
    <w:rsid w:val="008A7673"/>
    <w:rsid w:val="008A7870"/>
    <w:rsid w:val="008A7A01"/>
    <w:rsid w:val="008A7DB7"/>
    <w:rsid w:val="008A7DCE"/>
    <w:rsid w:val="008B0623"/>
    <w:rsid w:val="008B0EA1"/>
    <w:rsid w:val="008B125D"/>
    <w:rsid w:val="008B13BB"/>
    <w:rsid w:val="008B1536"/>
    <w:rsid w:val="008B285E"/>
    <w:rsid w:val="008B2B85"/>
    <w:rsid w:val="008B2CCE"/>
    <w:rsid w:val="008B2F1D"/>
    <w:rsid w:val="008B2FF4"/>
    <w:rsid w:val="008B35CD"/>
    <w:rsid w:val="008B3C1D"/>
    <w:rsid w:val="008B3CEA"/>
    <w:rsid w:val="008B44D7"/>
    <w:rsid w:val="008B46B5"/>
    <w:rsid w:val="008B4AA0"/>
    <w:rsid w:val="008B4AE8"/>
    <w:rsid w:val="008B4B4C"/>
    <w:rsid w:val="008B5187"/>
    <w:rsid w:val="008B5590"/>
    <w:rsid w:val="008B5D4B"/>
    <w:rsid w:val="008B634E"/>
    <w:rsid w:val="008B64E0"/>
    <w:rsid w:val="008B6BBA"/>
    <w:rsid w:val="008B75C9"/>
    <w:rsid w:val="008C0C6D"/>
    <w:rsid w:val="008C153C"/>
    <w:rsid w:val="008C1C05"/>
    <w:rsid w:val="008C2523"/>
    <w:rsid w:val="008C25CE"/>
    <w:rsid w:val="008C29CD"/>
    <w:rsid w:val="008C2C4B"/>
    <w:rsid w:val="008C35D0"/>
    <w:rsid w:val="008C39DC"/>
    <w:rsid w:val="008C4590"/>
    <w:rsid w:val="008C4699"/>
    <w:rsid w:val="008C4D8C"/>
    <w:rsid w:val="008C5270"/>
    <w:rsid w:val="008C5417"/>
    <w:rsid w:val="008D0286"/>
    <w:rsid w:val="008D0358"/>
    <w:rsid w:val="008D040C"/>
    <w:rsid w:val="008D0881"/>
    <w:rsid w:val="008D0FDE"/>
    <w:rsid w:val="008D11FB"/>
    <w:rsid w:val="008D1E89"/>
    <w:rsid w:val="008D2619"/>
    <w:rsid w:val="008D2A68"/>
    <w:rsid w:val="008D3525"/>
    <w:rsid w:val="008D36CC"/>
    <w:rsid w:val="008D4D9D"/>
    <w:rsid w:val="008D53C8"/>
    <w:rsid w:val="008D5EDE"/>
    <w:rsid w:val="008D6CFD"/>
    <w:rsid w:val="008D6D40"/>
    <w:rsid w:val="008D737F"/>
    <w:rsid w:val="008D7B02"/>
    <w:rsid w:val="008D7D28"/>
    <w:rsid w:val="008D7DD3"/>
    <w:rsid w:val="008E00DC"/>
    <w:rsid w:val="008E07C6"/>
    <w:rsid w:val="008E11F3"/>
    <w:rsid w:val="008E262C"/>
    <w:rsid w:val="008E278D"/>
    <w:rsid w:val="008E2FBD"/>
    <w:rsid w:val="008E3024"/>
    <w:rsid w:val="008E3066"/>
    <w:rsid w:val="008E3528"/>
    <w:rsid w:val="008E3648"/>
    <w:rsid w:val="008E3F37"/>
    <w:rsid w:val="008E3F92"/>
    <w:rsid w:val="008E413F"/>
    <w:rsid w:val="008E4201"/>
    <w:rsid w:val="008E49DD"/>
    <w:rsid w:val="008E49FD"/>
    <w:rsid w:val="008E5E82"/>
    <w:rsid w:val="008F04A4"/>
    <w:rsid w:val="008F0673"/>
    <w:rsid w:val="008F08AF"/>
    <w:rsid w:val="008F13BE"/>
    <w:rsid w:val="008F13DA"/>
    <w:rsid w:val="008F1850"/>
    <w:rsid w:val="008F3647"/>
    <w:rsid w:val="008F37E8"/>
    <w:rsid w:val="008F3932"/>
    <w:rsid w:val="008F394E"/>
    <w:rsid w:val="008F3E5E"/>
    <w:rsid w:val="008F4F1F"/>
    <w:rsid w:val="008F4F40"/>
    <w:rsid w:val="008F536D"/>
    <w:rsid w:val="008F567F"/>
    <w:rsid w:val="008F57E2"/>
    <w:rsid w:val="008F5D63"/>
    <w:rsid w:val="008F5EB5"/>
    <w:rsid w:val="008F6018"/>
    <w:rsid w:val="008F6A39"/>
    <w:rsid w:val="008F6D13"/>
    <w:rsid w:val="008F6DCA"/>
    <w:rsid w:val="008F72E0"/>
    <w:rsid w:val="008F741B"/>
    <w:rsid w:val="008F77B4"/>
    <w:rsid w:val="008F7ED0"/>
    <w:rsid w:val="008F7FFC"/>
    <w:rsid w:val="00900206"/>
    <w:rsid w:val="0090059B"/>
    <w:rsid w:val="00900976"/>
    <w:rsid w:val="00900ABD"/>
    <w:rsid w:val="00900CD2"/>
    <w:rsid w:val="009012D5"/>
    <w:rsid w:val="009015D3"/>
    <w:rsid w:val="00901A94"/>
    <w:rsid w:val="009035B1"/>
    <w:rsid w:val="00903684"/>
    <w:rsid w:val="009038C6"/>
    <w:rsid w:val="00903D8A"/>
    <w:rsid w:val="0090416D"/>
    <w:rsid w:val="00905DB5"/>
    <w:rsid w:val="00906C56"/>
    <w:rsid w:val="00906E1F"/>
    <w:rsid w:val="0090746B"/>
    <w:rsid w:val="00907663"/>
    <w:rsid w:val="009100E1"/>
    <w:rsid w:val="00910231"/>
    <w:rsid w:val="0091226B"/>
    <w:rsid w:val="00912304"/>
    <w:rsid w:val="0091257E"/>
    <w:rsid w:val="00912EA6"/>
    <w:rsid w:val="00913045"/>
    <w:rsid w:val="00913149"/>
    <w:rsid w:val="00913636"/>
    <w:rsid w:val="00913B76"/>
    <w:rsid w:val="00913D0F"/>
    <w:rsid w:val="00914487"/>
    <w:rsid w:val="0091467A"/>
    <w:rsid w:val="00915077"/>
    <w:rsid w:val="00915B9A"/>
    <w:rsid w:val="00916344"/>
    <w:rsid w:val="009168E4"/>
    <w:rsid w:val="00917CD9"/>
    <w:rsid w:val="00920289"/>
    <w:rsid w:val="00920FBA"/>
    <w:rsid w:val="00921BAD"/>
    <w:rsid w:val="00921F58"/>
    <w:rsid w:val="0092246B"/>
    <w:rsid w:val="0092259D"/>
    <w:rsid w:val="0092479B"/>
    <w:rsid w:val="0092542B"/>
    <w:rsid w:val="009256C4"/>
    <w:rsid w:val="009256F6"/>
    <w:rsid w:val="00925A00"/>
    <w:rsid w:val="00925D39"/>
    <w:rsid w:val="00926438"/>
    <w:rsid w:val="0092643D"/>
    <w:rsid w:val="009267DA"/>
    <w:rsid w:val="0092686C"/>
    <w:rsid w:val="00926C40"/>
    <w:rsid w:val="009274DF"/>
    <w:rsid w:val="00927572"/>
    <w:rsid w:val="0093020D"/>
    <w:rsid w:val="00930E1A"/>
    <w:rsid w:val="00931056"/>
    <w:rsid w:val="009313D6"/>
    <w:rsid w:val="00931A9A"/>
    <w:rsid w:val="00931E6B"/>
    <w:rsid w:val="00931F3D"/>
    <w:rsid w:val="009320A6"/>
    <w:rsid w:val="00932183"/>
    <w:rsid w:val="00932190"/>
    <w:rsid w:val="00932224"/>
    <w:rsid w:val="0093322F"/>
    <w:rsid w:val="00933793"/>
    <w:rsid w:val="00933B42"/>
    <w:rsid w:val="0093435C"/>
    <w:rsid w:val="00934419"/>
    <w:rsid w:val="00934B9C"/>
    <w:rsid w:val="00934CBA"/>
    <w:rsid w:val="00934E6F"/>
    <w:rsid w:val="0093520A"/>
    <w:rsid w:val="00935470"/>
    <w:rsid w:val="0093575F"/>
    <w:rsid w:val="009357E9"/>
    <w:rsid w:val="00935D52"/>
    <w:rsid w:val="0093646B"/>
    <w:rsid w:val="00936662"/>
    <w:rsid w:val="00936810"/>
    <w:rsid w:val="00936A72"/>
    <w:rsid w:val="00936BDB"/>
    <w:rsid w:val="00936FAA"/>
    <w:rsid w:val="00937ACA"/>
    <w:rsid w:val="009406B4"/>
    <w:rsid w:val="00940796"/>
    <w:rsid w:val="00940A3A"/>
    <w:rsid w:val="009411D4"/>
    <w:rsid w:val="009416DE"/>
    <w:rsid w:val="00941D35"/>
    <w:rsid w:val="00941E68"/>
    <w:rsid w:val="0094227F"/>
    <w:rsid w:val="009423DE"/>
    <w:rsid w:val="0094263E"/>
    <w:rsid w:val="00942B62"/>
    <w:rsid w:val="00942DF2"/>
    <w:rsid w:val="00943A10"/>
    <w:rsid w:val="009441D0"/>
    <w:rsid w:val="00944889"/>
    <w:rsid w:val="00945151"/>
    <w:rsid w:val="00945164"/>
    <w:rsid w:val="00945AF5"/>
    <w:rsid w:val="00945E2D"/>
    <w:rsid w:val="00946428"/>
    <w:rsid w:val="009471A3"/>
    <w:rsid w:val="009472FF"/>
    <w:rsid w:val="00947325"/>
    <w:rsid w:val="00947327"/>
    <w:rsid w:val="00947BE9"/>
    <w:rsid w:val="00950116"/>
    <w:rsid w:val="0095060B"/>
    <w:rsid w:val="00950FB4"/>
    <w:rsid w:val="00951609"/>
    <w:rsid w:val="009516E7"/>
    <w:rsid w:val="00952162"/>
    <w:rsid w:val="009521C7"/>
    <w:rsid w:val="00952326"/>
    <w:rsid w:val="00952A38"/>
    <w:rsid w:val="00952AF4"/>
    <w:rsid w:val="0095321C"/>
    <w:rsid w:val="00953363"/>
    <w:rsid w:val="00953965"/>
    <w:rsid w:val="00953AB3"/>
    <w:rsid w:val="00953C11"/>
    <w:rsid w:val="00955134"/>
    <w:rsid w:val="0095567F"/>
    <w:rsid w:val="009556C6"/>
    <w:rsid w:val="00955CD4"/>
    <w:rsid w:val="00956172"/>
    <w:rsid w:val="009566D0"/>
    <w:rsid w:val="00956E5C"/>
    <w:rsid w:val="00957185"/>
    <w:rsid w:val="009577D2"/>
    <w:rsid w:val="00957803"/>
    <w:rsid w:val="009603F7"/>
    <w:rsid w:val="009606DC"/>
    <w:rsid w:val="009609D7"/>
    <w:rsid w:val="00960F70"/>
    <w:rsid w:val="00961FD8"/>
    <w:rsid w:val="00962029"/>
    <w:rsid w:val="00962215"/>
    <w:rsid w:val="009623A6"/>
    <w:rsid w:val="009626A1"/>
    <w:rsid w:val="00962B01"/>
    <w:rsid w:val="00962F5E"/>
    <w:rsid w:val="009630A2"/>
    <w:rsid w:val="009630F0"/>
    <w:rsid w:val="009633F6"/>
    <w:rsid w:val="0096361D"/>
    <w:rsid w:val="009638F5"/>
    <w:rsid w:val="00964399"/>
    <w:rsid w:val="00964C84"/>
    <w:rsid w:val="00964E24"/>
    <w:rsid w:val="009650BC"/>
    <w:rsid w:val="00965474"/>
    <w:rsid w:val="00965C43"/>
    <w:rsid w:val="00966569"/>
    <w:rsid w:val="00966DD5"/>
    <w:rsid w:val="00966F40"/>
    <w:rsid w:val="00967247"/>
    <w:rsid w:val="00967652"/>
    <w:rsid w:val="00967769"/>
    <w:rsid w:val="0097007C"/>
    <w:rsid w:val="009703DA"/>
    <w:rsid w:val="00970D6F"/>
    <w:rsid w:val="00970E26"/>
    <w:rsid w:val="0097112E"/>
    <w:rsid w:val="00972143"/>
    <w:rsid w:val="009731D2"/>
    <w:rsid w:val="009733B9"/>
    <w:rsid w:val="00973FF6"/>
    <w:rsid w:val="00974935"/>
    <w:rsid w:val="0097623C"/>
    <w:rsid w:val="00976382"/>
    <w:rsid w:val="00976B98"/>
    <w:rsid w:val="00977DA7"/>
    <w:rsid w:val="009803C6"/>
    <w:rsid w:val="00980E85"/>
    <w:rsid w:val="00980E86"/>
    <w:rsid w:val="0098133D"/>
    <w:rsid w:val="009813C7"/>
    <w:rsid w:val="00981576"/>
    <w:rsid w:val="00981782"/>
    <w:rsid w:val="0098194A"/>
    <w:rsid w:val="00981A41"/>
    <w:rsid w:val="009830EE"/>
    <w:rsid w:val="0098389D"/>
    <w:rsid w:val="00983A83"/>
    <w:rsid w:val="00983CB3"/>
    <w:rsid w:val="00983CD5"/>
    <w:rsid w:val="00983D65"/>
    <w:rsid w:val="00984321"/>
    <w:rsid w:val="00984D09"/>
    <w:rsid w:val="0098593E"/>
    <w:rsid w:val="00986448"/>
    <w:rsid w:val="0098689B"/>
    <w:rsid w:val="00986F3A"/>
    <w:rsid w:val="00987688"/>
    <w:rsid w:val="00987D46"/>
    <w:rsid w:val="0099015D"/>
    <w:rsid w:val="00990F05"/>
    <w:rsid w:val="009915A4"/>
    <w:rsid w:val="00991A10"/>
    <w:rsid w:val="00992450"/>
    <w:rsid w:val="009926E4"/>
    <w:rsid w:val="00992E45"/>
    <w:rsid w:val="0099330F"/>
    <w:rsid w:val="0099351D"/>
    <w:rsid w:val="00993B1D"/>
    <w:rsid w:val="00993BFD"/>
    <w:rsid w:val="00993F11"/>
    <w:rsid w:val="00993FB5"/>
    <w:rsid w:val="00994547"/>
    <w:rsid w:val="00995074"/>
    <w:rsid w:val="00995329"/>
    <w:rsid w:val="009957CC"/>
    <w:rsid w:val="00996182"/>
    <w:rsid w:val="0099662C"/>
    <w:rsid w:val="00996E73"/>
    <w:rsid w:val="00996FEC"/>
    <w:rsid w:val="0099707F"/>
    <w:rsid w:val="00997791"/>
    <w:rsid w:val="0099796C"/>
    <w:rsid w:val="009A00CF"/>
    <w:rsid w:val="009A05CA"/>
    <w:rsid w:val="009A12C9"/>
    <w:rsid w:val="009A1685"/>
    <w:rsid w:val="009A1686"/>
    <w:rsid w:val="009A1781"/>
    <w:rsid w:val="009A1DAA"/>
    <w:rsid w:val="009A22C0"/>
    <w:rsid w:val="009A2377"/>
    <w:rsid w:val="009A2C23"/>
    <w:rsid w:val="009A2F6E"/>
    <w:rsid w:val="009A32D3"/>
    <w:rsid w:val="009A331E"/>
    <w:rsid w:val="009A350F"/>
    <w:rsid w:val="009A3A4E"/>
    <w:rsid w:val="009A3CE1"/>
    <w:rsid w:val="009A3EE8"/>
    <w:rsid w:val="009A4D39"/>
    <w:rsid w:val="009A5245"/>
    <w:rsid w:val="009A5EC6"/>
    <w:rsid w:val="009A679F"/>
    <w:rsid w:val="009A69BC"/>
    <w:rsid w:val="009A7125"/>
    <w:rsid w:val="009A73E9"/>
    <w:rsid w:val="009A76B4"/>
    <w:rsid w:val="009B0163"/>
    <w:rsid w:val="009B1594"/>
    <w:rsid w:val="009B2102"/>
    <w:rsid w:val="009B24D4"/>
    <w:rsid w:val="009B280B"/>
    <w:rsid w:val="009B442F"/>
    <w:rsid w:val="009B4702"/>
    <w:rsid w:val="009B50C3"/>
    <w:rsid w:val="009B5A8F"/>
    <w:rsid w:val="009B65E3"/>
    <w:rsid w:val="009B660E"/>
    <w:rsid w:val="009B6887"/>
    <w:rsid w:val="009B6B54"/>
    <w:rsid w:val="009B6CAF"/>
    <w:rsid w:val="009B745D"/>
    <w:rsid w:val="009B74D5"/>
    <w:rsid w:val="009B7735"/>
    <w:rsid w:val="009B780E"/>
    <w:rsid w:val="009B7907"/>
    <w:rsid w:val="009B7B51"/>
    <w:rsid w:val="009B7D20"/>
    <w:rsid w:val="009B7D84"/>
    <w:rsid w:val="009C0E52"/>
    <w:rsid w:val="009C0E7B"/>
    <w:rsid w:val="009C16B7"/>
    <w:rsid w:val="009C1854"/>
    <w:rsid w:val="009C1D4C"/>
    <w:rsid w:val="009C1FBF"/>
    <w:rsid w:val="009C2083"/>
    <w:rsid w:val="009C2AE2"/>
    <w:rsid w:val="009C2BC3"/>
    <w:rsid w:val="009C2CA9"/>
    <w:rsid w:val="009C3BF9"/>
    <w:rsid w:val="009C3E18"/>
    <w:rsid w:val="009C4060"/>
    <w:rsid w:val="009C41A3"/>
    <w:rsid w:val="009C41C5"/>
    <w:rsid w:val="009C544A"/>
    <w:rsid w:val="009C55C8"/>
    <w:rsid w:val="009C574A"/>
    <w:rsid w:val="009C5780"/>
    <w:rsid w:val="009C6C54"/>
    <w:rsid w:val="009C6D5A"/>
    <w:rsid w:val="009C70FB"/>
    <w:rsid w:val="009D0D3F"/>
    <w:rsid w:val="009D2199"/>
    <w:rsid w:val="009D235C"/>
    <w:rsid w:val="009D25C6"/>
    <w:rsid w:val="009D26F5"/>
    <w:rsid w:val="009D27ED"/>
    <w:rsid w:val="009D289C"/>
    <w:rsid w:val="009D2EB2"/>
    <w:rsid w:val="009D3218"/>
    <w:rsid w:val="009D35EF"/>
    <w:rsid w:val="009D36C5"/>
    <w:rsid w:val="009D424B"/>
    <w:rsid w:val="009D426F"/>
    <w:rsid w:val="009D446C"/>
    <w:rsid w:val="009D463F"/>
    <w:rsid w:val="009D4BFE"/>
    <w:rsid w:val="009D5033"/>
    <w:rsid w:val="009D542F"/>
    <w:rsid w:val="009D5DCF"/>
    <w:rsid w:val="009D653A"/>
    <w:rsid w:val="009D6861"/>
    <w:rsid w:val="009D750C"/>
    <w:rsid w:val="009D7543"/>
    <w:rsid w:val="009D76DB"/>
    <w:rsid w:val="009D78F4"/>
    <w:rsid w:val="009D7B9D"/>
    <w:rsid w:val="009D7E66"/>
    <w:rsid w:val="009E0021"/>
    <w:rsid w:val="009E0813"/>
    <w:rsid w:val="009E0C5B"/>
    <w:rsid w:val="009E1D7E"/>
    <w:rsid w:val="009E286C"/>
    <w:rsid w:val="009E2C44"/>
    <w:rsid w:val="009E2CD6"/>
    <w:rsid w:val="009E3083"/>
    <w:rsid w:val="009E4614"/>
    <w:rsid w:val="009E490C"/>
    <w:rsid w:val="009E56A9"/>
    <w:rsid w:val="009E5813"/>
    <w:rsid w:val="009E689E"/>
    <w:rsid w:val="009E70FC"/>
    <w:rsid w:val="009E7482"/>
    <w:rsid w:val="009E769F"/>
    <w:rsid w:val="009E76CC"/>
    <w:rsid w:val="009E7BF6"/>
    <w:rsid w:val="009E7BF9"/>
    <w:rsid w:val="009F03EF"/>
    <w:rsid w:val="009F0EBE"/>
    <w:rsid w:val="009F1901"/>
    <w:rsid w:val="009F1B1C"/>
    <w:rsid w:val="009F27A8"/>
    <w:rsid w:val="009F292C"/>
    <w:rsid w:val="009F2DD6"/>
    <w:rsid w:val="009F2F25"/>
    <w:rsid w:val="009F30E6"/>
    <w:rsid w:val="009F33F7"/>
    <w:rsid w:val="009F3BF2"/>
    <w:rsid w:val="009F3C9D"/>
    <w:rsid w:val="009F46B5"/>
    <w:rsid w:val="009F515A"/>
    <w:rsid w:val="009F53DB"/>
    <w:rsid w:val="009F54EC"/>
    <w:rsid w:val="009F5893"/>
    <w:rsid w:val="009F5C40"/>
    <w:rsid w:val="009F6DE8"/>
    <w:rsid w:val="009F705B"/>
    <w:rsid w:val="009F7C36"/>
    <w:rsid w:val="00A000B6"/>
    <w:rsid w:val="00A00A4A"/>
    <w:rsid w:val="00A01B9B"/>
    <w:rsid w:val="00A01C6B"/>
    <w:rsid w:val="00A0215B"/>
    <w:rsid w:val="00A02396"/>
    <w:rsid w:val="00A02891"/>
    <w:rsid w:val="00A029A1"/>
    <w:rsid w:val="00A02BC9"/>
    <w:rsid w:val="00A02E3F"/>
    <w:rsid w:val="00A02F19"/>
    <w:rsid w:val="00A044DF"/>
    <w:rsid w:val="00A04DF1"/>
    <w:rsid w:val="00A04F5B"/>
    <w:rsid w:val="00A04FD6"/>
    <w:rsid w:val="00A05144"/>
    <w:rsid w:val="00A0539C"/>
    <w:rsid w:val="00A057AA"/>
    <w:rsid w:val="00A059F9"/>
    <w:rsid w:val="00A061B5"/>
    <w:rsid w:val="00A062C7"/>
    <w:rsid w:val="00A074C6"/>
    <w:rsid w:val="00A07A2D"/>
    <w:rsid w:val="00A07A6B"/>
    <w:rsid w:val="00A07B45"/>
    <w:rsid w:val="00A07BA7"/>
    <w:rsid w:val="00A07DFE"/>
    <w:rsid w:val="00A07FB9"/>
    <w:rsid w:val="00A1038A"/>
    <w:rsid w:val="00A10CE4"/>
    <w:rsid w:val="00A10CED"/>
    <w:rsid w:val="00A10D1C"/>
    <w:rsid w:val="00A110DA"/>
    <w:rsid w:val="00A113B0"/>
    <w:rsid w:val="00A13F0D"/>
    <w:rsid w:val="00A1492C"/>
    <w:rsid w:val="00A14C09"/>
    <w:rsid w:val="00A154A7"/>
    <w:rsid w:val="00A16D4F"/>
    <w:rsid w:val="00A176A7"/>
    <w:rsid w:val="00A17838"/>
    <w:rsid w:val="00A20116"/>
    <w:rsid w:val="00A21032"/>
    <w:rsid w:val="00A21559"/>
    <w:rsid w:val="00A2172C"/>
    <w:rsid w:val="00A219CC"/>
    <w:rsid w:val="00A2253E"/>
    <w:rsid w:val="00A22716"/>
    <w:rsid w:val="00A229C1"/>
    <w:rsid w:val="00A23149"/>
    <w:rsid w:val="00A23828"/>
    <w:rsid w:val="00A23865"/>
    <w:rsid w:val="00A2401E"/>
    <w:rsid w:val="00A2489A"/>
    <w:rsid w:val="00A25EC1"/>
    <w:rsid w:val="00A2637F"/>
    <w:rsid w:val="00A26884"/>
    <w:rsid w:val="00A276DA"/>
    <w:rsid w:val="00A308B5"/>
    <w:rsid w:val="00A30CAC"/>
    <w:rsid w:val="00A31229"/>
    <w:rsid w:val="00A316BF"/>
    <w:rsid w:val="00A31E8B"/>
    <w:rsid w:val="00A32B47"/>
    <w:rsid w:val="00A33004"/>
    <w:rsid w:val="00A3340E"/>
    <w:rsid w:val="00A3450E"/>
    <w:rsid w:val="00A34D93"/>
    <w:rsid w:val="00A34F16"/>
    <w:rsid w:val="00A34F3D"/>
    <w:rsid w:val="00A350D7"/>
    <w:rsid w:val="00A351D2"/>
    <w:rsid w:val="00A35262"/>
    <w:rsid w:val="00A35A2C"/>
    <w:rsid w:val="00A35F1F"/>
    <w:rsid w:val="00A36A48"/>
    <w:rsid w:val="00A36A66"/>
    <w:rsid w:val="00A3766B"/>
    <w:rsid w:val="00A4032D"/>
    <w:rsid w:val="00A4057F"/>
    <w:rsid w:val="00A405AD"/>
    <w:rsid w:val="00A40B0F"/>
    <w:rsid w:val="00A40BC9"/>
    <w:rsid w:val="00A412D6"/>
    <w:rsid w:val="00A41BCE"/>
    <w:rsid w:val="00A42C22"/>
    <w:rsid w:val="00A42F22"/>
    <w:rsid w:val="00A430B9"/>
    <w:rsid w:val="00A43C38"/>
    <w:rsid w:val="00A44206"/>
    <w:rsid w:val="00A4481D"/>
    <w:rsid w:val="00A44DCC"/>
    <w:rsid w:val="00A451E6"/>
    <w:rsid w:val="00A4547C"/>
    <w:rsid w:val="00A458A5"/>
    <w:rsid w:val="00A45AAF"/>
    <w:rsid w:val="00A45B29"/>
    <w:rsid w:val="00A46107"/>
    <w:rsid w:val="00A46F16"/>
    <w:rsid w:val="00A47363"/>
    <w:rsid w:val="00A47F8E"/>
    <w:rsid w:val="00A5080B"/>
    <w:rsid w:val="00A51054"/>
    <w:rsid w:val="00A51191"/>
    <w:rsid w:val="00A513D0"/>
    <w:rsid w:val="00A51584"/>
    <w:rsid w:val="00A518EB"/>
    <w:rsid w:val="00A52E29"/>
    <w:rsid w:val="00A52EB8"/>
    <w:rsid w:val="00A52F9F"/>
    <w:rsid w:val="00A5302C"/>
    <w:rsid w:val="00A53827"/>
    <w:rsid w:val="00A549C4"/>
    <w:rsid w:val="00A55D71"/>
    <w:rsid w:val="00A56720"/>
    <w:rsid w:val="00A56BBF"/>
    <w:rsid w:val="00A56C08"/>
    <w:rsid w:val="00A56DC9"/>
    <w:rsid w:val="00A57487"/>
    <w:rsid w:val="00A57CC9"/>
    <w:rsid w:val="00A602CD"/>
    <w:rsid w:val="00A60597"/>
    <w:rsid w:val="00A60D68"/>
    <w:rsid w:val="00A61C1D"/>
    <w:rsid w:val="00A62144"/>
    <w:rsid w:val="00A62889"/>
    <w:rsid w:val="00A62DDB"/>
    <w:rsid w:val="00A62DFE"/>
    <w:rsid w:val="00A63233"/>
    <w:rsid w:val="00A632C4"/>
    <w:rsid w:val="00A6377A"/>
    <w:rsid w:val="00A63CE8"/>
    <w:rsid w:val="00A6401D"/>
    <w:rsid w:val="00A6605D"/>
    <w:rsid w:val="00A66070"/>
    <w:rsid w:val="00A6607F"/>
    <w:rsid w:val="00A667E4"/>
    <w:rsid w:val="00A66809"/>
    <w:rsid w:val="00A66A3A"/>
    <w:rsid w:val="00A670BF"/>
    <w:rsid w:val="00A67312"/>
    <w:rsid w:val="00A6786C"/>
    <w:rsid w:val="00A67A98"/>
    <w:rsid w:val="00A707A4"/>
    <w:rsid w:val="00A7091E"/>
    <w:rsid w:val="00A70AF3"/>
    <w:rsid w:val="00A71060"/>
    <w:rsid w:val="00A71D86"/>
    <w:rsid w:val="00A7249B"/>
    <w:rsid w:val="00A72C56"/>
    <w:rsid w:val="00A74971"/>
    <w:rsid w:val="00A759EB"/>
    <w:rsid w:val="00A75E6F"/>
    <w:rsid w:val="00A76218"/>
    <w:rsid w:val="00A77FFD"/>
    <w:rsid w:val="00A8007B"/>
    <w:rsid w:val="00A817F1"/>
    <w:rsid w:val="00A8195A"/>
    <w:rsid w:val="00A819BC"/>
    <w:rsid w:val="00A81A05"/>
    <w:rsid w:val="00A81CFE"/>
    <w:rsid w:val="00A82FED"/>
    <w:rsid w:val="00A83721"/>
    <w:rsid w:val="00A83CD4"/>
    <w:rsid w:val="00A84146"/>
    <w:rsid w:val="00A842EF"/>
    <w:rsid w:val="00A85373"/>
    <w:rsid w:val="00A85888"/>
    <w:rsid w:val="00A85C4F"/>
    <w:rsid w:val="00A86B04"/>
    <w:rsid w:val="00A87377"/>
    <w:rsid w:val="00A87BFE"/>
    <w:rsid w:val="00A87C8F"/>
    <w:rsid w:val="00A906A2"/>
    <w:rsid w:val="00A90D40"/>
    <w:rsid w:val="00A915F0"/>
    <w:rsid w:val="00A916E8"/>
    <w:rsid w:val="00A916F3"/>
    <w:rsid w:val="00A9171C"/>
    <w:rsid w:val="00A9209E"/>
    <w:rsid w:val="00A92901"/>
    <w:rsid w:val="00A92D9A"/>
    <w:rsid w:val="00A9313A"/>
    <w:rsid w:val="00A934A1"/>
    <w:rsid w:val="00A93A24"/>
    <w:rsid w:val="00A93C8D"/>
    <w:rsid w:val="00A942DD"/>
    <w:rsid w:val="00A945C8"/>
    <w:rsid w:val="00A9531A"/>
    <w:rsid w:val="00A95873"/>
    <w:rsid w:val="00A96446"/>
    <w:rsid w:val="00A9654C"/>
    <w:rsid w:val="00A9656C"/>
    <w:rsid w:val="00A97422"/>
    <w:rsid w:val="00A97676"/>
    <w:rsid w:val="00A97857"/>
    <w:rsid w:val="00A97C65"/>
    <w:rsid w:val="00AA08CC"/>
    <w:rsid w:val="00AA1879"/>
    <w:rsid w:val="00AA1D95"/>
    <w:rsid w:val="00AA1F76"/>
    <w:rsid w:val="00AA22B4"/>
    <w:rsid w:val="00AA3008"/>
    <w:rsid w:val="00AA3186"/>
    <w:rsid w:val="00AA37D9"/>
    <w:rsid w:val="00AA37E0"/>
    <w:rsid w:val="00AA3919"/>
    <w:rsid w:val="00AA43FB"/>
    <w:rsid w:val="00AA4530"/>
    <w:rsid w:val="00AA544F"/>
    <w:rsid w:val="00AA5714"/>
    <w:rsid w:val="00AA5F90"/>
    <w:rsid w:val="00AA5FBA"/>
    <w:rsid w:val="00AA6283"/>
    <w:rsid w:val="00AA785F"/>
    <w:rsid w:val="00AA7989"/>
    <w:rsid w:val="00AA7D17"/>
    <w:rsid w:val="00AA7F94"/>
    <w:rsid w:val="00AB0009"/>
    <w:rsid w:val="00AB1B77"/>
    <w:rsid w:val="00AB26CE"/>
    <w:rsid w:val="00AB2880"/>
    <w:rsid w:val="00AB2F0A"/>
    <w:rsid w:val="00AB33E5"/>
    <w:rsid w:val="00AB34BB"/>
    <w:rsid w:val="00AB35FA"/>
    <w:rsid w:val="00AB39C4"/>
    <w:rsid w:val="00AB3F94"/>
    <w:rsid w:val="00AB42FF"/>
    <w:rsid w:val="00AB486D"/>
    <w:rsid w:val="00AB4C48"/>
    <w:rsid w:val="00AB5750"/>
    <w:rsid w:val="00AB5917"/>
    <w:rsid w:val="00AB644F"/>
    <w:rsid w:val="00AB6614"/>
    <w:rsid w:val="00AB705A"/>
    <w:rsid w:val="00AB72D0"/>
    <w:rsid w:val="00AB7DDD"/>
    <w:rsid w:val="00AB7F5F"/>
    <w:rsid w:val="00AC08D6"/>
    <w:rsid w:val="00AC108F"/>
    <w:rsid w:val="00AC1315"/>
    <w:rsid w:val="00AC14CE"/>
    <w:rsid w:val="00AC27E7"/>
    <w:rsid w:val="00AC298C"/>
    <w:rsid w:val="00AC3658"/>
    <w:rsid w:val="00AC3F47"/>
    <w:rsid w:val="00AC40C9"/>
    <w:rsid w:val="00AC43B9"/>
    <w:rsid w:val="00AC4486"/>
    <w:rsid w:val="00AC575E"/>
    <w:rsid w:val="00AC5B2A"/>
    <w:rsid w:val="00AC5C4A"/>
    <w:rsid w:val="00AC5DBE"/>
    <w:rsid w:val="00AC659A"/>
    <w:rsid w:val="00AC67D5"/>
    <w:rsid w:val="00AC6A9A"/>
    <w:rsid w:val="00AC6B14"/>
    <w:rsid w:val="00AC720A"/>
    <w:rsid w:val="00AC7D38"/>
    <w:rsid w:val="00AC7DF7"/>
    <w:rsid w:val="00AD00EA"/>
    <w:rsid w:val="00AD02CD"/>
    <w:rsid w:val="00AD04C7"/>
    <w:rsid w:val="00AD0FA8"/>
    <w:rsid w:val="00AD0FE8"/>
    <w:rsid w:val="00AD1059"/>
    <w:rsid w:val="00AD16F9"/>
    <w:rsid w:val="00AD185B"/>
    <w:rsid w:val="00AD2147"/>
    <w:rsid w:val="00AD259B"/>
    <w:rsid w:val="00AD2E28"/>
    <w:rsid w:val="00AD2E67"/>
    <w:rsid w:val="00AD2FE1"/>
    <w:rsid w:val="00AD324C"/>
    <w:rsid w:val="00AD3829"/>
    <w:rsid w:val="00AD3F84"/>
    <w:rsid w:val="00AD4838"/>
    <w:rsid w:val="00AD4C68"/>
    <w:rsid w:val="00AD51A6"/>
    <w:rsid w:val="00AD59D5"/>
    <w:rsid w:val="00AD639B"/>
    <w:rsid w:val="00AD639C"/>
    <w:rsid w:val="00AD6D1C"/>
    <w:rsid w:val="00AD760C"/>
    <w:rsid w:val="00AD79D8"/>
    <w:rsid w:val="00AD79ED"/>
    <w:rsid w:val="00AD7E35"/>
    <w:rsid w:val="00AD7FE4"/>
    <w:rsid w:val="00AE017A"/>
    <w:rsid w:val="00AE0645"/>
    <w:rsid w:val="00AE0707"/>
    <w:rsid w:val="00AE0ABE"/>
    <w:rsid w:val="00AE0D08"/>
    <w:rsid w:val="00AE0E23"/>
    <w:rsid w:val="00AE1358"/>
    <w:rsid w:val="00AE1486"/>
    <w:rsid w:val="00AE152A"/>
    <w:rsid w:val="00AE16CA"/>
    <w:rsid w:val="00AE3F8A"/>
    <w:rsid w:val="00AE4054"/>
    <w:rsid w:val="00AE44BA"/>
    <w:rsid w:val="00AE4831"/>
    <w:rsid w:val="00AE4C75"/>
    <w:rsid w:val="00AE4EB5"/>
    <w:rsid w:val="00AE4EBC"/>
    <w:rsid w:val="00AE51C7"/>
    <w:rsid w:val="00AE5232"/>
    <w:rsid w:val="00AE545E"/>
    <w:rsid w:val="00AE59B1"/>
    <w:rsid w:val="00AE6047"/>
    <w:rsid w:val="00AE6F82"/>
    <w:rsid w:val="00AE7B5B"/>
    <w:rsid w:val="00AF0009"/>
    <w:rsid w:val="00AF0598"/>
    <w:rsid w:val="00AF110E"/>
    <w:rsid w:val="00AF13D6"/>
    <w:rsid w:val="00AF18F9"/>
    <w:rsid w:val="00AF19E6"/>
    <w:rsid w:val="00AF1AC1"/>
    <w:rsid w:val="00AF2A9B"/>
    <w:rsid w:val="00AF2F9C"/>
    <w:rsid w:val="00AF31C6"/>
    <w:rsid w:val="00AF356C"/>
    <w:rsid w:val="00AF3A11"/>
    <w:rsid w:val="00AF3A40"/>
    <w:rsid w:val="00AF4391"/>
    <w:rsid w:val="00AF472B"/>
    <w:rsid w:val="00AF4809"/>
    <w:rsid w:val="00AF4B32"/>
    <w:rsid w:val="00AF4E0D"/>
    <w:rsid w:val="00AF5575"/>
    <w:rsid w:val="00AF58AD"/>
    <w:rsid w:val="00AF643D"/>
    <w:rsid w:val="00AF690C"/>
    <w:rsid w:val="00AF7426"/>
    <w:rsid w:val="00AF75C0"/>
    <w:rsid w:val="00AF796D"/>
    <w:rsid w:val="00AF7A96"/>
    <w:rsid w:val="00B00309"/>
    <w:rsid w:val="00B00D1D"/>
    <w:rsid w:val="00B00F89"/>
    <w:rsid w:val="00B00FB2"/>
    <w:rsid w:val="00B01113"/>
    <w:rsid w:val="00B01467"/>
    <w:rsid w:val="00B01850"/>
    <w:rsid w:val="00B01E07"/>
    <w:rsid w:val="00B023B8"/>
    <w:rsid w:val="00B028EA"/>
    <w:rsid w:val="00B02A1B"/>
    <w:rsid w:val="00B03A9F"/>
    <w:rsid w:val="00B04A79"/>
    <w:rsid w:val="00B05BBD"/>
    <w:rsid w:val="00B060C5"/>
    <w:rsid w:val="00B062A6"/>
    <w:rsid w:val="00B06473"/>
    <w:rsid w:val="00B06AEB"/>
    <w:rsid w:val="00B06E70"/>
    <w:rsid w:val="00B06EA0"/>
    <w:rsid w:val="00B07407"/>
    <w:rsid w:val="00B07647"/>
    <w:rsid w:val="00B10053"/>
    <w:rsid w:val="00B1012D"/>
    <w:rsid w:val="00B10774"/>
    <w:rsid w:val="00B10DE3"/>
    <w:rsid w:val="00B1140D"/>
    <w:rsid w:val="00B11760"/>
    <w:rsid w:val="00B11BD7"/>
    <w:rsid w:val="00B11CA4"/>
    <w:rsid w:val="00B124BF"/>
    <w:rsid w:val="00B1271D"/>
    <w:rsid w:val="00B133D9"/>
    <w:rsid w:val="00B13946"/>
    <w:rsid w:val="00B13E72"/>
    <w:rsid w:val="00B14AE3"/>
    <w:rsid w:val="00B15448"/>
    <w:rsid w:val="00B154D5"/>
    <w:rsid w:val="00B159DF"/>
    <w:rsid w:val="00B160AD"/>
    <w:rsid w:val="00B163EA"/>
    <w:rsid w:val="00B16EBB"/>
    <w:rsid w:val="00B176C0"/>
    <w:rsid w:val="00B1775F"/>
    <w:rsid w:val="00B17D9A"/>
    <w:rsid w:val="00B20274"/>
    <w:rsid w:val="00B2075D"/>
    <w:rsid w:val="00B20A81"/>
    <w:rsid w:val="00B20A87"/>
    <w:rsid w:val="00B20FFD"/>
    <w:rsid w:val="00B21A9B"/>
    <w:rsid w:val="00B21F7A"/>
    <w:rsid w:val="00B231F3"/>
    <w:rsid w:val="00B23A79"/>
    <w:rsid w:val="00B24CB0"/>
    <w:rsid w:val="00B24D03"/>
    <w:rsid w:val="00B24EEA"/>
    <w:rsid w:val="00B25326"/>
    <w:rsid w:val="00B2557C"/>
    <w:rsid w:val="00B25ABF"/>
    <w:rsid w:val="00B25B1B"/>
    <w:rsid w:val="00B2625A"/>
    <w:rsid w:val="00B265C5"/>
    <w:rsid w:val="00B26671"/>
    <w:rsid w:val="00B26C6E"/>
    <w:rsid w:val="00B26D9C"/>
    <w:rsid w:val="00B27896"/>
    <w:rsid w:val="00B27A36"/>
    <w:rsid w:val="00B27F46"/>
    <w:rsid w:val="00B308B3"/>
    <w:rsid w:val="00B30AD0"/>
    <w:rsid w:val="00B31249"/>
    <w:rsid w:val="00B316A6"/>
    <w:rsid w:val="00B3173E"/>
    <w:rsid w:val="00B32079"/>
    <w:rsid w:val="00B32314"/>
    <w:rsid w:val="00B32606"/>
    <w:rsid w:val="00B32C8E"/>
    <w:rsid w:val="00B32FE4"/>
    <w:rsid w:val="00B342B7"/>
    <w:rsid w:val="00B34C32"/>
    <w:rsid w:val="00B35283"/>
    <w:rsid w:val="00B35337"/>
    <w:rsid w:val="00B354E7"/>
    <w:rsid w:val="00B355B5"/>
    <w:rsid w:val="00B35762"/>
    <w:rsid w:val="00B35A42"/>
    <w:rsid w:val="00B35B9C"/>
    <w:rsid w:val="00B35DD1"/>
    <w:rsid w:val="00B378F2"/>
    <w:rsid w:val="00B3795F"/>
    <w:rsid w:val="00B37A76"/>
    <w:rsid w:val="00B401BC"/>
    <w:rsid w:val="00B40687"/>
    <w:rsid w:val="00B40E60"/>
    <w:rsid w:val="00B41260"/>
    <w:rsid w:val="00B41792"/>
    <w:rsid w:val="00B41AEF"/>
    <w:rsid w:val="00B4222E"/>
    <w:rsid w:val="00B423B2"/>
    <w:rsid w:val="00B4259A"/>
    <w:rsid w:val="00B42D11"/>
    <w:rsid w:val="00B436A5"/>
    <w:rsid w:val="00B43867"/>
    <w:rsid w:val="00B44684"/>
    <w:rsid w:val="00B45282"/>
    <w:rsid w:val="00B452B2"/>
    <w:rsid w:val="00B452CF"/>
    <w:rsid w:val="00B4552A"/>
    <w:rsid w:val="00B45843"/>
    <w:rsid w:val="00B4588E"/>
    <w:rsid w:val="00B45C28"/>
    <w:rsid w:val="00B46165"/>
    <w:rsid w:val="00B46306"/>
    <w:rsid w:val="00B46983"/>
    <w:rsid w:val="00B46AA7"/>
    <w:rsid w:val="00B4702C"/>
    <w:rsid w:val="00B472AD"/>
    <w:rsid w:val="00B47C0A"/>
    <w:rsid w:val="00B5070E"/>
    <w:rsid w:val="00B50C2B"/>
    <w:rsid w:val="00B50CC5"/>
    <w:rsid w:val="00B514A4"/>
    <w:rsid w:val="00B514C7"/>
    <w:rsid w:val="00B51B6D"/>
    <w:rsid w:val="00B51D48"/>
    <w:rsid w:val="00B523A9"/>
    <w:rsid w:val="00B5263F"/>
    <w:rsid w:val="00B5302A"/>
    <w:rsid w:val="00B538C4"/>
    <w:rsid w:val="00B53FAE"/>
    <w:rsid w:val="00B54094"/>
    <w:rsid w:val="00B54D44"/>
    <w:rsid w:val="00B55434"/>
    <w:rsid w:val="00B56014"/>
    <w:rsid w:val="00B5690A"/>
    <w:rsid w:val="00B56C8A"/>
    <w:rsid w:val="00B56D90"/>
    <w:rsid w:val="00B57178"/>
    <w:rsid w:val="00B577CC"/>
    <w:rsid w:val="00B57933"/>
    <w:rsid w:val="00B57C3D"/>
    <w:rsid w:val="00B57F9D"/>
    <w:rsid w:val="00B60A3B"/>
    <w:rsid w:val="00B60C58"/>
    <w:rsid w:val="00B60D2F"/>
    <w:rsid w:val="00B6154A"/>
    <w:rsid w:val="00B61836"/>
    <w:rsid w:val="00B61905"/>
    <w:rsid w:val="00B61CA9"/>
    <w:rsid w:val="00B61F08"/>
    <w:rsid w:val="00B6223B"/>
    <w:rsid w:val="00B62955"/>
    <w:rsid w:val="00B630DE"/>
    <w:rsid w:val="00B63544"/>
    <w:rsid w:val="00B6360B"/>
    <w:rsid w:val="00B63666"/>
    <w:rsid w:val="00B637FF"/>
    <w:rsid w:val="00B63EC1"/>
    <w:rsid w:val="00B63F19"/>
    <w:rsid w:val="00B64E6D"/>
    <w:rsid w:val="00B6501B"/>
    <w:rsid w:val="00B65E99"/>
    <w:rsid w:val="00B660D8"/>
    <w:rsid w:val="00B6648C"/>
    <w:rsid w:val="00B666B5"/>
    <w:rsid w:val="00B6675B"/>
    <w:rsid w:val="00B6689E"/>
    <w:rsid w:val="00B670A2"/>
    <w:rsid w:val="00B700C7"/>
    <w:rsid w:val="00B70B8C"/>
    <w:rsid w:val="00B70BE2"/>
    <w:rsid w:val="00B70C55"/>
    <w:rsid w:val="00B7102F"/>
    <w:rsid w:val="00B72664"/>
    <w:rsid w:val="00B727F5"/>
    <w:rsid w:val="00B736B6"/>
    <w:rsid w:val="00B7371D"/>
    <w:rsid w:val="00B73ADE"/>
    <w:rsid w:val="00B74149"/>
    <w:rsid w:val="00B747B3"/>
    <w:rsid w:val="00B7548E"/>
    <w:rsid w:val="00B75549"/>
    <w:rsid w:val="00B75750"/>
    <w:rsid w:val="00B76987"/>
    <w:rsid w:val="00B76A36"/>
    <w:rsid w:val="00B771AF"/>
    <w:rsid w:val="00B771B2"/>
    <w:rsid w:val="00B80281"/>
    <w:rsid w:val="00B80316"/>
    <w:rsid w:val="00B80343"/>
    <w:rsid w:val="00B80827"/>
    <w:rsid w:val="00B8085A"/>
    <w:rsid w:val="00B80C29"/>
    <w:rsid w:val="00B81697"/>
    <w:rsid w:val="00B81DF4"/>
    <w:rsid w:val="00B82108"/>
    <w:rsid w:val="00B82591"/>
    <w:rsid w:val="00B82B7C"/>
    <w:rsid w:val="00B82E3C"/>
    <w:rsid w:val="00B83147"/>
    <w:rsid w:val="00B83E08"/>
    <w:rsid w:val="00B84062"/>
    <w:rsid w:val="00B847F9"/>
    <w:rsid w:val="00B857CB"/>
    <w:rsid w:val="00B87606"/>
    <w:rsid w:val="00B9019B"/>
    <w:rsid w:val="00B90341"/>
    <w:rsid w:val="00B90D39"/>
    <w:rsid w:val="00B90DEB"/>
    <w:rsid w:val="00B90FF2"/>
    <w:rsid w:val="00B916B2"/>
    <w:rsid w:val="00B91A78"/>
    <w:rsid w:val="00B91BC8"/>
    <w:rsid w:val="00B91F97"/>
    <w:rsid w:val="00B92347"/>
    <w:rsid w:val="00B92949"/>
    <w:rsid w:val="00B93270"/>
    <w:rsid w:val="00B93299"/>
    <w:rsid w:val="00B9352A"/>
    <w:rsid w:val="00B93684"/>
    <w:rsid w:val="00B94312"/>
    <w:rsid w:val="00B94335"/>
    <w:rsid w:val="00B94474"/>
    <w:rsid w:val="00B9473D"/>
    <w:rsid w:val="00B94C5D"/>
    <w:rsid w:val="00B94E9A"/>
    <w:rsid w:val="00B95125"/>
    <w:rsid w:val="00B9549A"/>
    <w:rsid w:val="00B954E3"/>
    <w:rsid w:val="00B9621D"/>
    <w:rsid w:val="00B96A26"/>
    <w:rsid w:val="00B96C4D"/>
    <w:rsid w:val="00B97BBC"/>
    <w:rsid w:val="00BA0903"/>
    <w:rsid w:val="00BA0FC3"/>
    <w:rsid w:val="00BA1B27"/>
    <w:rsid w:val="00BA20F9"/>
    <w:rsid w:val="00BA21B0"/>
    <w:rsid w:val="00BA22F5"/>
    <w:rsid w:val="00BA235A"/>
    <w:rsid w:val="00BA297E"/>
    <w:rsid w:val="00BA2C7B"/>
    <w:rsid w:val="00BA3367"/>
    <w:rsid w:val="00BA33FD"/>
    <w:rsid w:val="00BA3FF4"/>
    <w:rsid w:val="00BA400A"/>
    <w:rsid w:val="00BA433E"/>
    <w:rsid w:val="00BA4725"/>
    <w:rsid w:val="00BA482C"/>
    <w:rsid w:val="00BA4E1A"/>
    <w:rsid w:val="00BA506D"/>
    <w:rsid w:val="00BA58E0"/>
    <w:rsid w:val="00BA5CD0"/>
    <w:rsid w:val="00BA6DA8"/>
    <w:rsid w:val="00BA6DB0"/>
    <w:rsid w:val="00BA706D"/>
    <w:rsid w:val="00BB0BF2"/>
    <w:rsid w:val="00BB0D5B"/>
    <w:rsid w:val="00BB10FC"/>
    <w:rsid w:val="00BB119C"/>
    <w:rsid w:val="00BB1D6C"/>
    <w:rsid w:val="00BB2277"/>
    <w:rsid w:val="00BB2E53"/>
    <w:rsid w:val="00BB37D0"/>
    <w:rsid w:val="00BB3851"/>
    <w:rsid w:val="00BB3969"/>
    <w:rsid w:val="00BB3D73"/>
    <w:rsid w:val="00BB4110"/>
    <w:rsid w:val="00BB425B"/>
    <w:rsid w:val="00BB454C"/>
    <w:rsid w:val="00BB4622"/>
    <w:rsid w:val="00BB4716"/>
    <w:rsid w:val="00BB48C1"/>
    <w:rsid w:val="00BB48E6"/>
    <w:rsid w:val="00BB4C9B"/>
    <w:rsid w:val="00BB52A5"/>
    <w:rsid w:val="00BB56A4"/>
    <w:rsid w:val="00BB59DA"/>
    <w:rsid w:val="00BB5AA2"/>
    <w:rsid w:val="00BB619F"/>
    <w:rsid w:val="00BB64AF"/>
    <w:rsid w:val="00BB75F4"/>
    <w:rsid w:val="00BB773C"/>
    <w:rsid w:val="00BC0C16"/>
    <w:rsid w:val="00BC0CEE"/>
    <w:rsid w:val="00BC0E38"/>
    <w:rsid w:val="00BC1376"/>
    <w:rsid w:val="00BC13B3"/>
    <w:rsid w:val="00BC15D8"/>
    <w:rsid w:val="00BC1ACC"/>
    <w:rsid w:val="00BC2493"/>
    <w:rsid w:val="00BC279D"/>
    <w:rsid w:val="00BC35AD"/>
    <w:rsid w:val="00BC3B2E"/>
    <w:rsid w:val="00BC3BA9"/>
    <w:rsid w:val="00BC43B0"/>
    <w:rsid w:val="00BC43F2"/>
    <w:rsid w:val="00BC4BB8"/>
    <w:rsid w:val="00BC58C2"/>
    <w:rsid w:val="00BC5B49"/>
    <w:rsid w:val="00BC603F"/>
    <w:rsid w:val="00BC6F68"/>
    <w:rsid w:val="00BC7047"/>
    <w:rsid w:val="00BC79AC"/>
    <w:rsid w:val="00BC7FE0"/>
    <w:rsid w:val="00BD0713"/>
    <w:rsid w:val="00BD119B"/>
    <w:rsid w:val="00BD12DA"/>
    <w:rsid w:val="00BD1C9D"/>
    <w:rsid w:val="00BD2BD9"/>
    <w:rsid w:val="00BD308E"/>
    <w:rsid w:val="00BD4711"/>
    <w:rsid w:val="00BD490D"/>
    <w:rsid w:val="00BD4B11"/>
    <w:rsid w:val="00BD4DD3"/>
    <w:rsid w:val="00BD58C3"/>
    <w:rsid w:val="00BD59D2"/>
    <w:rsid w:val="00BD5AC7"/>
    <w:rsid w:val="00BD5E81"/>
    <w:rsid w:val="00BD6029"/>
    <w:rsid w:val="00BD6291"/>
    <w:rsid w:val="00BD664B"/>
    <w:rsid w:val="00BD669B"/>
    <w:rsid w:val="00BD77E9"/>
    <w:rsid w:val="00BE0021"/>
    <w:rsid w:val="00BE0CE9"/>
    <w:rsid w:val="00BE110C"/>
    <w:rsid w:val="00BE1961"/>
    <w:rsid w:val="00BE1C69"/>
    <w:rsid w:val="00BE1D7F"/>
    <w:rsid w:val="00BE2034"/>
    <w:rsid w:val="00BE22A1"/>
    <w:rsid w:val="00BE2627"/>
    <w:rsid w:val="00BE2B60"/>
    <w:rsid w:val="00BE2B9A"/>
    <w:rsid w:val="00BE2DA2"/>
    <w:rsid w:val="00BE31CB"/>
    <w:rsid w:val="00BE37A3"/>
    <w:rsid w:val="00BE3AAE"/>
    <w:rsid w:val="00BE3B9F"/>
    <w:rsid w:val="00BE3EBF"/>
    <w:rsid w:val="00BE409C"/>
    <w:rsid w:val="00BE42B2"/>
    <w:rsid w:val="00BE44B0"/>
    <w:rsid w:val="00BE4503"/>
    <w:rsid w:val="00BE48EF"/>
    <w:rsid w:val="00BE5284"/>
    <w:rsid w:val="00BE5E8C"/>
    <w:rsid w:val="00BE5EAD"/>
    <w:rsid w:val="00BE63EF"/>
    <w:rsid w:val="00BE67BC"/>
    <w:rsid w:val="00BE6A80"/>
    <w:rsid w:val="00BE6B4C"/>
    <w:rsid w:val="00BE6CB4"/>
    <w:rsid w:val="00BE6FC0"/>
    <w:rsid w:val="00BE6FFF"/>
    <w:rsid w:val="00BE7193"/>
    <w:rsid w:val="00BE78FF"/>
    <w:rsid w:val="00BE7A6C"/>
    <w:rsid w:val="00BE7D05"/>
    <w:rsid w:val="00BF06CE"/>
    <w:rsid w:val="00BF1373"/>
    <w:rsid w:val="00BF2779"/>
    <w:rsid w:val="00BF31D7"/>
    <w:rsid w:val="00BF4033"/>
    <w:rsid w:val="00BF44CC"/>
    <w:rsid w:val="00BF60D9"/>
    <w:rsid w:val="00BF6187"/>
    <w:rsid w:val="00BF6C60"/>
    <w:rsid w:val="00BF717B"/>
    <w:rsid w:val="00BF723E"/>
    <w:rsid w:val="00BF7439"/>
    <w:rsid w:val="00C00DFC"/>
    <w:rsid w:val="00C01E72"/>
    <w:rsid w:val="00C022B1"/>
    <w:rsid w:val="00C0296A"/>
    <w:rsid w:val="00C031CF"/>
    <w:rsid w:val="00C03249"/>
    <w:rsid w:val="00C03526"/>
    <w:rsid w:val="00C039E7"/>
    <w:rsid w:val="00C04499"/>
    <w:rsid w:val="00C044BE"/>
    <w:rsid w:val="00C04A96"/>
    <w:rsid w:val="00C05065"/>
    <w:rsid w:val="00C051B7"/>
    <w:rsid w:val="00C05D29"/>
    <w:rsid w:val="00C071C8"/>
    <w:rsid w:val="00C071D8"/>
    <w:rsid w:val="00C075AD"/>
    <w:rsid w:val="00C07AA3"/>
    <w:rsid w:val="00C07D8C"/>
    <w:rsid w:val="00C07E3A"/>
    <w:rsid w:val="00C102F2"/>
    <w:rsid w:val="00C103A4"/>
    <w:rsid w:val="00C10A36"/>
    <w:rsid w:val="00C10C00"/>
    <w:rsid w:val="00C10E54"/>
    <w:rsid w:val="00C11288"/>
    <w:rsid w:val="00C114C8"/>
    <w:rsid w:val="00C1159E"/>
    <w:rsid w:val="00C11F5B"/>
    <w:rsid w:val="00C12006"/>
    <w:rsid w:val="00C12628"/>
    <w:rsid w:val="00C12A65"/>
    <w:rsid w:val="00C12A7D"/>
    <w:rsid w:val="00C12A8F"/>
    <w:rsid w:val="00C1304C"/>
    <w:rsid w:val="00C13992"/>
    <w:rsid w:val="00C13D63"/>
    <w:rsid w:val="00C13E15"/>
    <w:rsid w:val="00C14374"/>
    <w:rsid w:val="00C14796"/>
    <w:rsid w:val="00C14DFE"/>
    <w:rsid w:val="00C14E7B"/>
    <w:rsid w:val="00C15028"/>
    <w:rsid w:val="00C153E5"/>
    <w:rsid w:val="00C15F90"/>
    <w:rsid w:val="00C16919"/>
    <w:rsid w:val="00C16B66"/>
    <w:rsid w:val="00C16D31"/>
    <w:rsid w:val="00C17449"/>
    <w:rsid w:val="00C20263"/>
    <w:rsid w:val="00C20551"/>
    <w:rsid w:val="00C2128E"/>
    <w:rsid w:val="00C21A3B"/>
    <w:rsid w:val="00C22298"/>
    <w:rsid w:val="00C22F4F"/>
    <w:rsid w:val="00C23053"/>
    <w:rsid w:val="00C2338D"/>
    <w:rsid w:val="00C235BB"/>
    <w:rsid w:val="00C23EA6"/>
    <w:rsid w:val="00C2406D"/>
    <w:rsid w:val="00C24278"/>
    <w:rsid w:val="00C24876"/>
    <w:rsid w:val="00C24A67"/>
    <w:rsid w:val="00C24C00"/>
    <w:rsid w:val="00C24FEB"/>
    <w:rsid w:val="00C25678"/>
    <w:rsid w:val="00C25926"/>
    <w:rsid w:val="00C25CAB"/>
    <w:rsid w:val="00C25F85"/>
    <w:rsid w:val="00C2676B"/>
    <w:rsid w:val="00C2698A"/>
    <w:rsid w:val="00C26D66"/>
    <w:rsid w:val="00C26DAB"/>
    <w:rsid w:val="00C2712B"/>
    <w:rsid w:val="00C272AD"/>
    <w:rsid w:val="00C2793E"/>
    <w:rsid w:val="00C27E8B"/>
    <w:rsid w:val="00C300CD"/>
    <w:rsid w:val="00C303A4"/>
    <w:rsid w:val="00C30B49"/>
    <w:rsid w:val="00C33877"/>
    <w:rsid w:val="00C33FC6"/>
    <w:rsid w:val="00C34425"/>
    <w:rsid w:val="00C34814"/>
    <w:rsid w:val="00C35720"/>
    <w:rsid w:val="00C3573C"/>
    <w:rsid w:val="00C35EED"/>
    <w:rsid w:val="00C35EF5"/>
    <w:rsid w:val="00C360AC"/>
    <w:rsid w:val="00C36321"/>
    <w:rsid w:val="00C36576"/>
    <w:rsid w:val="00C368C5"/>
    <w:rsid w:val="00C37387"/>
    <w:rsid w:val="00C37993"/>
    <w:rsid w:val="00C37E37"/>
    <w:rsid w:val="00C37ED1"/>
    <w:rsid w:val="00C400AE"/>
    <w:rsid w:val="00C4049B"/>
    <w:rsid w:val="00C405EB"/>
    <w:rsid w:val="00C4085D"/>
    <w:rsid w:val="00C40E33"/>
    <w:rsid w:val="00C416FE"/>
    <w:rsid w:val="00C421B6"/>
    <w:rsid w:val="00C4259E"/>
    <w:rsid w:val="00C43AC9"/>
    <w:rsid w:val="00C44738"/>
    <w:rsid w:val="00C45297"/>
    <w:rsid w:val="00C456C3"/>
    <w:rsid w:val="00C457AE"/>
    <w:rsid w:val="00C46835"/>
    <w:rsid w:val="00C46CC2"/>
    <w:rsid w:val="00C471F4"/>
    <w:rsid w:val="00C47B43"/>
    <w:rsid w:val="00C47CDC"/>
    <w:rsid w:val="00C47F30"/>
    <w:rsid w:val="00C507E8"/>
    <w:rsid w:val="00C50989"/>
    <w:rsid w:val="00C50E03"/>
    <w:rsid w:val="00C51064"/>
    <w:rsid w:val="00C513F3"/>
    <w:rsid w:val="00C51C35"/>
    <w:rsid w:val="00C51E14"/>
    <w:rsid w:val="00C520D1"/>
    <w:rsid w:val="00C52432"/>
    <w:rsid w:val="00C53379"/>
    <w:rsid w:val="00C54113"/>
    <w:rsid w:val="00C543BC"/>
    <w:rsid w:val="00C54FF3"/>
    <w:rsid w:val="00C5615B"/>
    <w:rsid w:val="00C5646C"/>
    <w:rsid w:val="00C566BF"/>
    <w:rsid w:val="00C57013"/>
    <w:rsid w:val="00C57A82"/>
    <w:rsid w:val="00C6026D"/>
    <w:rsid w:val="00C60705"/>
    <w:rsid w:val="00C613BC"/>
    <w:rsid w:val="00C61651"/>
    <w:rsid w:val="00C61EE3"/>
    <w:rsid w:val="00C62298"/>
    <w:rsid w:val="00C629F8"/>
    <w:rsid w:val="00C62CAF"/>
    <w:rsid w:val="00C62D07"/>
    <w:rsid w:val="00C63058"/>
    <w:rsid w:val="00C63973"/>
    <w:rsid w:val="00C63CD1"/>
    <w:rsid w:val="00C63DA2"/>
    <w:rsid w:val="00C6472D"/>
    <w:rsid w:val="00C64F9E"/>
    <w:rsid w:val="00C65348"/>
    <w:rsid w:val="00C66040"/>
    <w:rsid w:val="00C66399"/>
    <w:rsid w:val="00C6647E"/>
    <w:rsid w:val="00C671C5"/>
    <w:rsid w:val="00C67204"/>
    <w:rsid w:val="00C67373"/>
    <w:rsid w:val="00C67806"/>
    <w:rsid w:val="00C7044C"/>
    <w:rsid w:val="00C707E6"/>
    <w:rsid w:val="00C709DC"/>
    <w:rsid w:val="00C71FC7"/>
    <w:rsid w:val="00C721C3"/>
    <w:rsid w:val="00C72400"/>
    <w:rsid w:val="00C72A3D"/>
    <w:rsid w:val="00C73EE4"/>
    <w:rsid w:val="00C745AC"/>
    <w:rsid w:val="00C747AA"/>
    <w:rsid w:val="00C74A87"/>
    <w:rsid w:val="00C74B11"/>
    <w:rsid w:val="00C74C8E"/>
    <w:rsid w:val="00C74D12"/>
    <w:rsid w:val="00C751F0"/>
    <w:rsid w:val="00C75B3B"/>
    <w:rsid w:val="00C77033"/>
    <w:rsid w:val="00C77441"/>
    <w:rsid w:val="00C778C5"/>
    <w:rsid w:val="00C77B0A"/>
    <w:rsid w:val="00C77D48"/>
    <w:rsid w:val="00C801B8"/>
    <w:rsid w:val="00C804F7"/>
    <w:rsid w:val="00C80558"/>
    <w:rsid w:val="00C80C84"/>
    <w:rsid w:val="00C80D25"/>
    <w:rsid w:val="00C80F40"/>
    <w:rsid w:val="00C8221D"/>
    <w:rsid w:val="00C838C4"/>
    <w:rsid w:val="00C844ED"/>
    <w:rsid w:val="00C84F1E"/>
    <w:rsid w:val="00C850E3"/>
    <w:rsid w:val="00C85257"/>
    <w:rsid w:val="00C8556D"/>
    <w:rsid w:val="00C85609"/>
    <w:rsid w:val="00C86A13"/>
    <w:rsid w:val="00C86B48"/>
    <w:rsid w:val="00C90473"/>
    <w:rsid w:val="00C908B3"/>
    <w:rsid w:val="00C9090A"/>
    <w:rsid w:val="00C90918"/>
    <w:rsid w:val="00C909B5"/>
    <w:rsid w:val="00C91656"/>
    <w:rsid w:val="00C91661"/>
    <w:rsid w:val="00C920A7"/>
    <w:rsid w:val="00C920EC"/>
    <w:rsid w:val="00C92426"/>
    <w:rsid w:val="00C92A1E"/>
    <w:rsid w:val="00C92F56"/>
    <w:rsid w:val="00C9366C"/>
    <w:rsid w:val="00C938F3"/>
    <w:rsid w:val="00C93C4E"/>
    <w:rsid w:val="00C9440E"/>
    <w:rsid w:val="00C945E9"/>
    <w:rsid w:val="00C94EA6"/>
    <w:rsid w:val="00C94F48"/>
    <w:rsid w:val="00C9534B"/>
    <w:rsid w:val="00C95557"/>
    <w:rsid w:val="00C95997"/>
    <w:rsid w:val="00C96562"/>
    <w:rsid w:val="00C96A33"/>
    <w:rsid w:val="00C96DA2"/>
    <w:rsid w:val="00C96F91"/>
    <w:rsid w:val="00C97FF1"/>
    <w:rsid w:val="00CA0EB1"/>
    <w:rsid w:val="00CA1410"/>
    <w:rsid w:val="00CA15F4"/>
    <w:rsid w:val="00CA23D3"/>
    <w:rsid w:val="00CA23ED"/>
    <w:rsid w:val="00CA2418"/>
    <w:rsid w:val="00CA349F"/>
    <w:rsid w:val="00CA3B9D"/>
    <w:rsid w:val="00CA3BE0"/>
    <w:rsid w:val="00CA3BFD"/>
    <w:rsid w:val="00CA427F"/>
    <w:rsid w:val="00CA4678"/>
    <w:rsid w:val="00CA51FA"/>
    <w:rsid w:val="00CA5ED9"/>
    <w:rsid w:val="00CA653C"/>
    <w:rsid w:val="00CA6B7D"/>
    <w:rsid w:val="00CA6B9D"/>
    <w:rsid w:val="00CA6DAA"/>
    <w:rsid w:val="00CA6F22"/>
    <w:rsid w:val="00CA705B"/>
    <w:rsid w:val="00CA7622"/>
    <w:rsid w:val="00CA76A1"/>
    <w:rsid w:val="00CA7711"/>
    <w:rsid w:val="00CA7EA6"/>
    <w:rsid w:val="00CB0046"/>
    <w:rsid w:val="00CB00F7"/>
    <w:rsid w:val="00CB0431"/>
    <w:rsid w:val="00CB0B0D"/>
    <w:rsid w:val="00CB1103"/>
    <w:rsid w:val="00CB161B"/>
    <w:rsid w:val="00CB1679"/>
    <w:rsid w:val="00CB1A5B"/>
    <w:rsid w:val="00CB1B83"/>
    <w:rsid w:val="00CB1B9C"/>
    <w:rsid w:val="00CB2892"/>
    <w:rsid w:val="00CB28EE"/>
    <w:rsid w:val="00CB2B9B"/>
    <w:rsid w:val="00CB37DA"/>
    <w:rsid w:val="00CB3E88"/>
    <w:rsid w:val="00CB48BC"/>
    <w:rsid w:val="00CB5332"/>
    <w:rsid w:val="00CB5535"/>
    <w:rsid w:val="00CB5F3C"/>
    <w:rsid w:val="00CB61C1"/>
    <w:rsid w:val="00CB6569"/>
    <w:rsid w:val="00CB6FC6"/>
    <w:rsid w:val="00CB7603"/>
    <w:rsid w:val="00CB788F"/>
    <w:rsid w:val="00CB7BD1"/>
    <w:rsid w:val="00CC026B"/>
    <w:rsid w:val="00CC0325"/>
    <w:rsid w:val="00CC051E"/>
    <w:rsid w:val="00CC0B6E"/>
    <w:rsid w:val="00CC0F08"/>
    <w:rsid w:val="00CC1E77"/>
    <w:rsid w:val="00CC2DF1"/>
    <w:rsid w:val="00CC327C"/>
    <w:rsid w:val="00CC3631"/>
    <w:rsid w:val="00CC4734"/>
    <w:rsid w:val="00CC49C7"/>
    <w:rsid w:val="00CC4C7C"/>
    <w:rsid w:val="00CC4D06"/>
    <w:rsid w:val="00CC4D61"/>
    <w:rsid w:val="00CC55BD"/>
    <w:rsid w:val="00CC69A3"/>
    <w:rsid w:val="00CC70CA"/>
    <w:rsid w:val="00CC746A"/>
    <w:rsid w:val="00CC7B38"/>
    <w:rsid w:val="00CD0202"/>
    <w:rsid w:val="00CD022B"/>
    <w:rsid w:val="00CD084E"/>
    <w:rsid w:val="00CD086E"/>
    <w:rsid w:val="00CD08E4"/>
    <w:rsid w:val="00CD0919"/>
    <w:rsid w:val="00CD098C"/>
    <w:rsid w:val="00CD0D20"/>
    <w:rsid w:val="00CD148E"/>
    <w:rsid w:val="00CD1DA5"/>
    <w:rsid w:val="00CD3484"/>
    <w:rsid w:val="00CD3917"/>
    <w:rsid w:val="00CD3A0B"/>
    <w:rsid w:val="00CD3B4C"/>
    <w:rsid w:val="00CD3B93"/>
    <w:rsid w:val="00CD3C83"/>
    <w:rsid w:val="00CD4C19"/>
    <w:rsid w:val="00CD4C8C"/>
    <w:rsid w:val="00CD4EF0"/>
    <w:rsid w:val="00CD615E"/>
    <w:rsid w:val="00CD6899"/>
    <w:rsid w:val="00CD6BE3"/>
    <w:rsid w:val="00CD6F43"/>
    <w:rsid w:val="00CD7273"/>
    <w:rsid w:val="00CD7328"/>
    <w:rsid w:val="00CD7903"/>
    <w:rsid w:val="00CE0330"/>
    <w:rsid w:val="00CE0AEB"/>
    <w:rsid w:val="00CE12FA"/>
    <w:rsid w:val="00CE1481"/>
    <w:rsid w:val="00CE20D7"/>
    <w:rsid w:val="00CE2B7A"/>
    <w:rsid w:val="00CE3128"/>
    <w:rsid w:val="00CE3302"/>
    <w:rsid w:val="00CE39A1"/>
    <w:rsid w:val="00CE419A"/>
    <w:rsid w:val="00CE4A47"/>
    <w:rsid w:val="00CE4B94"/>
    <w:rsid w:val="00CE5233"/>
    <w:rsid w:val="00CE58F0"/>
    <w:rsid w:val="00CE5D56"/>
    <w:rsid w:val="00CE644E"/>
    <w:rsid w:val="00CE65CB"/>
    <w:rsid w:val="00CE66BB"/>
    <w:rsid w:val="00CE68DF"/>
    <w:rsid w:val="00CE6B73"/>
    <w:rsid w:val="00CE6E00"/>
    <w:rsid w:val="00CE6E59"/>
    <w:rsid w:val="00CE724F"/>
    <w:rsid w:val="00CE79C0"/>
    <w:rsid w:val="00CE7A16"/>
    <w:rsid w:val="00CE7B72"/>
    <w:rsid w:val="00CF014C"/>
    <w:rsid w:val="00CF029C"/>
    <w:rsid w:val="00CF0A9C"/>
    <w:rsid w:val="00CF1409"/>
    <w:rsid w:val="00CF14BA"/>
    <w:rsid w:val="00CF174F"/>
    <w:rsid w:val="00CF1E59"/>
    <w:rsid w:val="00CF22C8"/>
    <w:rsid w:val="00CF23A8"/>
    <w:rsid w:val="00CF2C88"/>
    <w:rsid w:val="00CF3155"/>
    <w:rsid w:val="00CF40F5"/>
    <w:rsid w:val="00CF420B"/>
    <w:rsid w:val="00CF466B"/>
    <w:rsid w:val="00CF52B0"/>
    <w:rsid w:val="00CF5D84"/>
    <w:rsid w:val="00CF65B1"/>
    <w:rsid w:val="00CF6855"/>
    <w:rsid w:val="00CF6955"/>
    <w:rsid w:val="00CF7046"/>
    <w:rsid w:val="00CF7626"/>
    <w:rsid w:val="00CF785B"/>
    <w:rsid w:val="00CF798D"/>
    <w:rsid w:val="00CF7B47"/>
    <w:rsid w:val="00CF7D0C"/>
    <w:rsid w:val="00D00001"/>
    <w:rsid w:val="00D00569"/>
    <w:rsid w:val="00D013E0"/>
    <w:rsid w:val="00D02131"/>
    <w:rsid w:val="00D02244"/>
    <w:rsid w:val="00D02396"/>
    <w:rsid w:val="00D023FA"/>
    <w:rsid w:val="00D02647"/>
    <w:rsid w:val="00D028BE"/>
    <w:rsid w:val="00D02FDC"/>
    <w:rsid w:val="00D038DE"/>
    <w:rsid w:val="00D03BC3"/>
    <w:rsid w:val="00D03D5A"/>
    <w:rsid w:val="00D0474D"/>
    <w:rsid w:val="00D0554F"/>
    <w:rsid w:val="00D05E57"/>
    <w:rsid w:val="00D06274"/>
    <w:rsid w:val="00D077AC"/>
    <w:rsid w:val="00D078CF"/>
    <w:rsid w:val="00D07937"/>
    <w:rsid w:val="00D10005"/>
    <w:rsid w:val="00D10703"/>
    <w:rsid w:val="00D118DB"/>
    <w:rsid w:val="00D11B4E"/>
    <w:rsid w:val="00D11E07"/>
    <w:rsid w:val="00D123BA"/>
    <w:rsid w:val="00D12445"/>
    <w:rsid w:val="00D12450"/>
    <w:rsid w:val="00D13384"/>
    <w:rsid w:val="00D1360F"/>
    <w:rsid w:val="00D1382C"/>
    <w:rsid w:val="00D13B79"/>
    <w:rsid w:val="00D149E3"/>
    <w:rsid w:val="00D14C0F"/>
    <w:rsid w:val="00D15922"/>
    <w:rsid w:val="00D159E2"/>
    <w:rsid w:val="00D161FC"/>
    <w:rsid w:val="00D16309"/>
    <w:rsid w:val="00D167EF"/>
    <w:rsid w:val="00D16EC0"/>
    <w:rsid w:val="00D173EF"/>
    <w:rsid w:val="00D1740B"/>
    <w:rsid w:val="00D177C2"/>
    <w:rsid w:val="00D17AA2"/>
    <w:rsid w:val="00D20524"/>
    <w:rsid w:val="00D207FC"/>
    <w:rsid w:val="00D21036"/>
    <w:rsid w:val="00D213CC"/>
    <w:rsid w:val="00D2169F"/>
    <w:rsid w:val="00D21892"/>
    <w:rsid w:val="00D21A08"/>
    <w:rsid w:val="00D2227C"/>
    <w:rsid w:val="00D2273C"/>
    <w:rsid w:val="00D227BF"/>
    <w:rsid w:val="00D2370A"/>
    <w:rsid w:val="00D23961"/>
    <w:rsid w:val="00D23A77"/>
    <w:rsid w:val="00D23E01"/>
    <w:rsid w:val="00D24678"/>
    <w:rsid w:val="00D24F44"/>
    <w:rsid w:val="00D24FFE"/>
    <w:rsid w:val="00D25D1A"/>
    <w:rsid w:val="00D25EC8"/>
    <w:rsid w:val="00D2753A"/>
    <w:rsid w:val="00D2760E"/>
    <w:rsid w:val="00D27A50"/>
    <w:rsid w:val="00D308AA"/>
    <w:rsid w:val="00D30DE9"/>
    <w:rsid w:val="00D31036"/>
    <w:rsid w:val="00D313F5"/>
    <w:rsid w:val="00D31991"/>
    <w:rsid w:val="00D31A12"/>
    <w:rsid w:val="00D3261F"/>
    <w:rsid w:val="00D32CD6"/>
    <w:rsid w:val="00D34201"/>
    <w:rsid w:val="00D3465E"/>
    <w:rsid w:val="00D349D7"/>
    <w:rsid w:val="00D35C52"/>
    <w:rsid w:val="00D36785"/>
    <w:rsid w:val="00D368E0"/>
    <w:rsid w:val="00D36AA6"/>
    <w:rsid w:val="00D374B2"/>
    <w:rsid w:val="00D37DCA"/>
    <w:rsid w:val="00D4063E"/>
    <w:rsid w:val="00D41959"/>
    <w:rsid w:val="00D42B0E"/>
    <w:rsid w:val="00D434FB"/>
    <w:rsid w:val="00D43A2B"/>
    <w:rsid w:val="00D44851"/>
    <w:rsid w:val="00D44AEC"/>
    <w:rsid w:val="00D452EE"/>
    <w:rsid w:val="00D4549F"/>
    <w:rsid w:val="00D456C2"/>
    <w:rsid w:val="00D45840"/>
    <w:rsid w:val="00D45A06"/>
    <w:rsid w:val="00D46148"/>
    <w:rsid w:val="00D463EC"/>
    <w:rsid w:val="00D466E4"/>
    <w:rsid w:val="00D47091"/>
    <w:rsid w:val="00D473B3"/>
    <w:rsid w:val="00D501FC"/>
    <w:rsid w:val="00D5077A"/>
    <w:rsid w:val="00D5110D"/>
    <w:rsid w:val="00D512B6"/>
    <w:rsid w:val="00D51D31"/>
    <w:rsid w:val="00D520DE"/>
    <w:rsid w:val="00D52107"/>
    <w:rsid w:val="00D522BE"/>
    <w:rsid w:val="00D52CD7"/>
    <w:rsid w:val="00D53C36"/>
    <w:rsid w:val="00D54021"/>
    <w:rsid w:val="00D54107"/>
    <w:rsid w:val="00D5435F"/>
    <w:rsid w:val="00D545FC"/>
    <w:rsid w:val="00D5466B"/>
    <w:rsid w:val="00D54A94"/>
    <w:rsid w:val="00D54B72"/>
    <w:rsid w:val="00D550EF"/>
    <w:rsid w:val="00D551CC"/>
    <w:rsid w:val="00D552C4"/>
    <w:rsid w:val="00D55347"/>
    <w:rsid w:val="00D559A8"/>
    <w:rsid w:val="00D55E82"/>
    <w:rsid w:val="00D5737C"/>
    <w:rsid w:val="00D57EE4"/>
    <w:rsid w:val="00D60494"/>
    <w:rsid w:val="00D60551"/>
    <w:rsid w:val="00D605EC"/>
    <w:rsid w:val="00D60663"/>
    <w:rsid w:val="00D60692"/>
    <w:rsid w:val="00D6081D"/>
    <w:rsid w:val="00D60B98"/>
    <w:rsid w:val="00D60F5B"/>
    <w:rsid w:val="00D61006"/>
    <w:rsid w:val="00D616CF"/>
    <w:rsid w:val="00D6191B"/>
    <w:rsid w:val="00D61A4F"/>
    <w:rsid w:val="00D61C43"/>
    <w:rsid w:val="00D61DCD"/>
    <w:rsid w:val="00D62233"/>
    <w:rsid w:val="00D6264A"/>
    <w:rsid w:val="00D62EEE"/>
    <w:rsid w:val="00D63008"/>
    <w:rsid w:val="00D635B6"/>
    <w:rsid w:val="00D639BB"/>
    <w:rsid w:val="00D6412A"/>
    <w:rsid w:val="00D64757"/>
    <w:rsid w:val="00D648EE"/>
    <w:rsid w:val="00D64EEF"/>
    <w:rsid w:val="00D660B5"/>
    <w:rsid w:val="00D66788"/>
    <w:rsid w:val="00D670D0"/>
    <w:rsid w:val="00D674D8"/>
    <w:rsid w:val="00D67F08"/>
    <w:rsid w:val="00D67FE0"/>
    <w:rsid w:val="00D70605"/>
    <w:rsid w:val="00D707C8"/>
    <w:rsid w:val="00D70C81"/>
    <w:rsid w:val="00D70D50"/>
    <w:rsid w:val="00D70F91"/>
    <w:rsid w:val="00D711EC"/>
    <w:rsid w:val="00D71796"/>
    <w:rsid w:val="00D7181F"/>
    <w:rsid w:val="00D71863"/>
    <w:rsid w:val="00D718F4"/>
    <w:rsid w:val="00D71B32"/>
    <w:rsid w:val="00D71B7A"/>
    <w:rsid w:val="00D71F89"/>
    <w:rsid w:val="00D724A3"/>
    <w:rsid w:val="00D72C7C"/>
    <w:rsid w:val="00D731F2"/>
    <w:rsid w:val="00D73EA7"/>
    <w:rsid w:val="00D74130"/>
    <w:rsid w:val="00D74C01"/>
    <w:rsid w:val="00D74D85"/>
    <w:rsid w:val="00D75069"/>
    <w:rsid w:val="00D7507F"/>
    <w:rsid w:val="00D75282"/>
    <w:rsid w:val="00D75335"/>
    <w:rsid w:val="00D7542A"/>
    <w:rsid w:val="00D76719"/>
    <w:rsid w:val="00D77EA0"/>
    <w:rsid w:val="00D805B9"/>
    <w:rsid w:val="00D80B6D"/>
    <w:rsid w:val="00D81005"/>
    <w:rsid w:val="00D8146E"/>
    <w:rsid w:val="00D81667"/>
    <w:rsid w:val="00D81817"/>
    <w:rsid w:val="00D819FE"/>
    <w:rsid w:val="00D81B71"/>
    <w:rsid w:val="00D82283"/>
    <w:rsid w:val="00D837DE"/>
    <w:rsid w:val="00D83AC7"/>
    <w:rsid w:val="00D84041"/>
    <w:rsid w:val="00D841DA"/>
    <w:rsid w:val="00D8429C"/>
    <w:rsid w:val="00D84FE7"/>
    <w:rsid w:val="00D85DA7"/>
    <w:rsid w:val="00D85EDE"/>
    <w:rsid w:val="00D86AF5"/>
    <w:rsid w:val="00D86DE8"/>
    <w:rsid w:val="00D875B4"/>
    <w:rsid w:val="00D9012B"/>
    <w:rsid w:val="00D90A51"/>
    <w:rsid w:val="00D9138E"/>
    <w:rsid w:val="00D9216C"/>
    <w:rsid w:val="00D926B7"/>
    <w:rsid w:val="00D92E0E"/>
    <w:rsid w:val="00D92F65"/>
    <w:rsid w:val="00D92FB2"/>
    <w:rsid w:val="00D9346B"/>
    <w:rsid w:val="00D936A3"/>
    <w:rsid w:val="00D9382F"/>
    <w:rsid w:val="00D956DD"/>
    <w:rsid w:val="00D95791"/>
    <w:rsid w:val="00D9589F"/>
    <w:rsid w:val="00D95C02"/>
    <w:rsid w:val="00D95C88"/>
    <w:rsid w:val="00D97198"/>
    <w:rsid w:val="00D9721F"/>
    <w:rsid w:val="00D97438"/>
    <w:rsid w:val="00D975DE"/>
    <w:rsid w:val="00D9760F"/>
    <w:rsid w:val="00DA096D"/>
    <w:rsid w:val="00DA0DC7"/>
    <w:rsid w:val="00DA0E8A"/>
    <w:rsid w:val="00DA140E"/>
    <w:rsid w:val="00DA1742"/>
    <w:rsid w:val="00DA174F"/>
    <w:rsid w:val="00DA1D51"/>
    <w:rsid w:val="00DA24F5"/>
    <w:rsid w:val="00DA399B"/>
    <w:rsid w:val="00DA47B9"/>
    <w:rsid w:val="00DA4D4E"/>
    <w:rsid w:val="00DA542E"/>
    <w:rsid w:val="00DA6114"/>
    <w:rsid w:val="00DA6863"/>
    <w:rsid w:val="00DA6F36"/>
    <w:rsid w:val="00DA70BC"/>
    <w:rsid w:val="00DB0275"/>
    <w:rsid w:val="00DB0A8F"/>
    <w:rsid w:val="00DB0CC7"/>
    <w:rsid w:val="00DB0F79"/>
    <w:rsid w:val="00DB1CEC"/>
    <w:rsid w:val="00DB233A"/>
    <w:rsid w:val="00DB23B5"/>
    <w:rsid w:val="00DB2839"/>
    <w:rsid w:val="00DB2CF9"/>
    <w:rsid w:val="00DB3188"/>
    <w:rsid w:val="00DB3771"/>
    <w:rsid w:val="00DB3C8B"/>
    <w:rsid w:val="00DB3D5E"/>
    <w:rsid w:val="00DB421D"/>
    <w:rsid w:val="00DB44A9"/>
    <w:rsid w:val="00DB46D9"/>
    <w:rsid w:val="00DB489B"/>
    <w:rsid w:val="00DB48CB"/>
    <w:rsid w:val="00DB553F"/>
    <w:rsid w:val="00DB6289"/>
    <w:rsid w:val="00DB6348"/>
    <w:rsid w:val="00DB696D"/>
    <w:rsid w:val="00DB6A19"/>
    <w:rsid w:val="00DB6BE8"/>
    <w:rsid w:val="00DB7277"/>
    <w:rsid w:val="00DC08AC"/>
    <w:rsid w:val="00DC1477"/>
    <w:rsid w:val="00DC1517"/>
    <w:rsid w:val="00DC192B"/>
    <w:rsid w:val="00DC2599"/>
    <w:rsid w:val="00DC28C7"/>
    <w:rsid w:val="00DC2DC4"/>
    <w:rsid w:val="00DC309B"/>
    <w:rsid w:val="00DC309D"/>
    <w:rsid w:val="00DC3143"/>
    <w:rsid w:val="00DC3211"/>
    <w:rsid w:val="00DC41C1"/>
    <w:rsid w:val="00DC43FC"/>
    <w:rsid w:val="00DC44BC"/>
    <w:rsid w:val="00DC49B0"/>
    <w:rsid w:val="00DC4A13"/>
    <w:rsid w:val="00DC53FD"/>
    <w:rsid w:val="00DC577C"/>
    <w:rsid w:val="00DC6718"/>
    <w:rsid w:val="00DC71F9"/>
    <w:rsid w:val="00DC7433"/>
    <w:rsid w:val="00DC778C"/>
    <w:rsid w:val="00DC790D"/>
    <w:rsid w:val="00DD03BE"/>
    <w:rsid w:val="00DD098E"/>
    <w:rsid w:val="00DD0A49"/>
    <w:rsid w:val="00DD0BB4"/>
    <w:rsid w:val="00DD1223"/>
    <w:rsid w:val="00DD126D"/>
    <w:rsid w:val="00DD18D0"/>
    <w:rsid w:val="00DD1D67"/>
    <w:rsid w:val="00DD1D8C"/>
    <w:rsid w:val="00DD3060"/>
    <w:rsid w:val="00DD370A"/>
    <w:rsid w:val="00DD3996"/>
    <w:rsid w:val="00DD3B8A"/>
    <w:rsid w:val="00DD4117"/>
    <w:rsid w:val="00DD4806"/>
    <w:rsid w:val="00DD49F3"/>
    <w:rsid w:val="00DD512D"/>
    <w:rsid w:val="00DD54A8"/>
    <w:rsid w:val="00DD5873"/>
    <w:rsid w:val="00DD6185"/>
    <w:rsid w:val="00DD623B"/>
    <w:rsid w:val="00DD6393"/>
    <w:rsid w:val="00DD6A53"/>
    <w:rsid w:val="00DD7783"/>
    <w:rsid w:val="00DD798B"/>
    <w:rsid w:val="00DD7CBD"/>
    <w:rsid w:val="00DE034E"/>
    <w:rsid w:val="00DE0403"/>
    <w:rsid w:val="00DE0BF5"/>
    <w:rsid w:val="00DE0FEA"/>
    <w:rsid w:val="00DE219F"/>
    <w:rsid w:val="00DE2608"/>
    <w:rsid w:val="00DE2FCF"/>
    <w:rsid w:val="00DE3794"/>
    <w:rsid w:val="00DE3CA5"/>
    <w:rsid w:val="00DE4320"/>
    <w:rsid w:val="00DE43A1"/>
    <w:rsid w:val="00DE505A"/>
    <w:rsid w:val="00DE55A0"/>
    <w:rsid w:val="00DE5F1C"/>
    <w:rsid w:val="00DE634F"/>
    <w:rsid w:val="00DE6C1C"/>
    <w:rsid w:val="00DF0169"/>
    <w:rsid w:val="00DF0286"/>
    <w:rsid w:val="00DF076B"/>
    <w:rsid w:val="00DF07BD"/>
    <w:rsid w:val="00DF0A5D"/>
    <w:rsid w:val="00DF0A64"/>
    <w:rsid w:val="00DF0C35"/>
    <w:rsid w:val="00DF0F6E"/>
    <w:rsid w:val="00DF10A0"/>
    <w:rsid w:val="00DF13AA"/>
    <w:rsid w:val="00DF14B7"/>
    <w:rsid w:val="00DF196E"/>
    <w:rsid w:val="00DF31B3"/>
    <w:rsid w:val="00DF3A64"/>
    <w:rsid w:val="00DF44EA"/>
    <w:rsid w:val="00DF4675"/>
    <w:rsid w:val="00DF6B04"/>
    <w:rsid w:val="00DF7049"/>
    <w:rsid w:val="00DF7AEE"/>
    <w:rsid w:val="00E0024E"/>
    <w:rsid w:val="00E00AC4"/>
    <w:rsid w:val="00E00F49"/>
    <w:rsid w:val="00E01BEC"/>
    <w:rsid w:val="00E01E37"/>
    <w:rsid w:val="00E01EDB"/>
    <w:rsid w:val="00E0229C"/>
    <w:rsid w:val="00E0265D"/>
    <w:rsid w:val="00E02B2C"/>
    <w:rsid w:val="00E02BA7"/>
    <w:rsid w:val="00E02E7C"/>
    <w:rsid w:val="00E043A5"/>
    <w:rsid w:val="00E04431"/>
    <w:rsid w:val="00E046A1"/>
    <w:rsid w:val="00E04746"/>
    <w:rsid w:val="00E04806"/>
    <w:rsid w:val="00E04D5E"/>
    <w:rsid w:val="00E04ECB"/>
    <w:rsid w:val="00E052E9"/>
    <w:rsid w:val="00E057D9"/>
    <w:rsid w:val="00E060E1"/>
    <w:rsid w:val="00E0628D"/>
    <w:rsid w:val="00E0646D"/>
    <w:rsid w:val="00E0719D"/>
    <w:rsid w:val="00E074C5"/>
    <w:rsid w:val="00E078A2"/>
    <w:rsid w:val="00E07DD8"/>
    <w:rsid w:val="00E1072F"/>
    <w:rsid w:val="00E11362"/>
    <w:rsid w:val="00E11C46"/>
    <w:rsid w:val="00E12032"/>
    <w:rsid w:val="00E12216"/>
    <w:rsid w:val="00E12256"/>
    <w:rsid w:val="00E12B11"/>
    <w:rsid w:val="00E13079"/>
    <w:rsid w:val="00E1333B"/>
    <w:rsid w:val="00E13364"/>
    <w:rsid w:val="00E136AE"/>
    <w:rsid w:val="00E14D81"/>
    <w:rsid w:val="00E14E60"/>
    <w:rsid w:val="00E1505D"/>
    <w:rsid w:val="00E1514F"/>
    <w:rsid w:val="00E1581B"/>
    <w:rsid w:val="00E168EE"/>
    <w:rsid w:val="00E16F86"/>
    <w:rsid w:val="00E17396"/>
    <w:rsid w:val="00E1783F"/>
    <w:rsid w:val="00E17878"/>
    <w:rsid w:val="00E17E30"/>
    <w:rsid w:val="00E2024B"/>
    <w:rsid w:val="00E20E13"/>
    <w:rsid w:val="00E20E8F"/>
    <w:rsid w:val="00E218AE"/>
    <w:rsid w:val="00E21B24"/>
    <w:rsid w:val="00E21D70"/>
    <w:rsid w:val="00E2223A"/>
    <w:rsid w:val="00E22490"/>
    <w:rsid w:val="00E23507"/>
    <w:rsid w:val="00E23BB9"/>
    <w:rsid w:val="00E23D6D"/>
    <w:rsid w:val="00E23DB0"/>
    <w:rsid w:val="00E242BD"/>
    <w:rsid w:val="00E24310"/>
    <w:rsid w:val="00E2461F"/>
    <w:rsid w:val="00E24731"/>
    <w:rsid w:val="00E24D5B"/>
    <w:rsid w:val="00E24F83"/>
    <w:rsid w:val="00E2505B"/>
    <w:rsid w:val="00E25556"/>
    <w:rsid w:val="00E259A2"/>
    <w:rsid w:val="00E25AA4"/>
    <w:rsid w:val="00E25CF5"/>
    <w:rsid w:val="00E26019"/>
    <w:rsid w:val="00E263DD"/>
    <w:rsid w:val="00E27147"/>
    <w:rsid w:val="00E27973"/>
    <w:rsid w:val="00E27DE6"/>
    <w:rsid w:val="00E30491"/>
    <w:rsid w:val="00E306C3"/>
    <w:rsid w:val="00E31719"/>
    <w:rsid w:val="00E3177F"/>
    <w:rsid w:val="00E318D0"/>
    <w:rsid w:val="00E322FC"/>
    <w:rsid w:val="00E32779"/>
    <w:rsid w:val="00E32C80"/>
    <w:rsid w:val="00E32D39"/>
    <w:rsid w:val="00E335CD"/>
    <w:rsid w:val="00E33831"/>
    <w:rsid w:val="00E338EB"/>
    <w:rsid w:val="00E33A62"/>
    <w:rsid w:val="00E33D95"/>
    <w:rsid w:val="00E341C2"/>
    <w:rsid w:val="00E342E8"/>
    <w:rsid w:val="00E343FD"/>
    <w:rsid w:val="00E34C25"/>
    <w:rsid w:val="00E34E89"/>
    <w:rsid w:val="00E34FE4"/>
    <w:rsid w:val="00E35B64"/>
    <w:rsid w:val="00E35C3B"/>
    <w:rsid w:val="00E35DBF"/>
    <w:rsid w:val="00E361CA"/>
    <w:rsid w:val="00E36E5C"/>
    <w:rsid w:val="00E376FF"/>
    <w:rsid w:val="00E37959"/>
    <w:rsid w:val="00E37A51"/>
    <w:rsid w:val="00E4099A"/>
    <w:rsid w:val="00E40AF1"/>
    <w:rsid w:val="00E40DDC"/>
    <w:rsid w:val="00E4164E"/>
    <w:rsid w:val="00E41D82"/>
    <w:rsid w:val="00E41E42"/>
    <w:rsid w:val="00E42425"/>
    <w:rsid w:val="00E432FA"/>
    <w:rsid w:val="00E4460A"/>
    <w:rsid w:val="00E4467D"/>
    <w:rsid w:val="00E44FE9"/>
    <w:rsid w:val="00E45780"/>
    <w:rsid w:val="00E457B6"/>
    <w:rsid w:val="00E45974"/>
    <w:rsid w:val="00E45E76"/>
    <w:rsid w:val="00E46C41"/>
    <w:rsid w:val="00E4742B"/>
    <w:rsid w:val="00E5043E"/>
    <w:rsid w:val="00E51342"/>
    <w:rsid w:val="00E51E0D"/>
    <w:rsid w:val="00E52028"/>
    <w:rsid w:val="00E5284F"/>
    <w:rsid w:val="00E5304B"/>
    <w:rsid w:val="00E53D10"/>
    <w:rsid w:val="00E53D9C"/>
    <w:rsid w:val="00E54102"/>
    <w:rsid w:val="00E547A7"/>
    <w:rsid w:val="00E54B51"/>
    <w:rsid w:val="00E54E4D"/>
    <w:rsid w:val="00E5616C"/>
    <w:rsid w:val="00E56347"/>
    <w:rsid w:val="00E56D3F"/>
    <w:rsid w:val="00E56FCD"/>
    <w:rsid w:val="00E5731F"/>
    <w:rsid w:val="00E602B2"/>
    <w:rsid w:val="00E60A35"/>
    <w:rsid w:val="00E60F3F"/>
    <w:rsid w:val="00E61BA4"/>
    <w:rsid w:val="00E61C79"/>
    <w:rsid w:val="00E61F57"/>
    <w:rsid w:val="00E623EB"/>
    <w:rsid w:val="00E62B0D"/>
    <w:rsid w:val="00E63639"/>
    <w:rsid w:val="00E6365E"/>
    <w:rsid w:val="00E64512"/>
    <w:rsid w:val="00E64CD3"/>
    <w:rsid w:val="00E64E5B"/>
    <w:rsid w:val="00E654B6"/>
    <w:rsid w:val="00E65722"/>
    <w:rsid w:val="00E66371"/>
    <w:rsid w:val="00E663D1"/>
    <w:rsid w:val="00E67141"/>
    <w:rsid w:val="00E6752A"/>
    <w:rsid w:val="00E67733"/>
    <w:rsid w:val="00E67F13"/>
    <w:rsid w:val="00E7000E"/>
    <w:rsid w:val="00E70013"/>
    <w:rsid w:val="00E701EA"/>
    <w:rsid w:val="00E7152A"/>
    <w:rsid w:val="00E71945"/>
    <w:rsid w:val="00E71B00"/>
    <w:rsid w:val="00E723DA"/>
    <w:rsid w:val="00E72706"/>
    <w:rsid w:val="00E7273A"/>
    <w:rsid w:val="00E72A1F"/>
    <w:rsid w:val="00E7458F"/>
    <w:rsid w:val="00E753DA"/>
    <w:rsid w:val="00E765B8"/>
    <w:rsid w:val="00E7669A"/>
    <w:rsid w:val="00E76AFD"/>
    <w:rsid w:val="00E76C4D"/>
    <w:rsid w:val="00E77622"/>
    <w:rsid w:val="00E77978"/>
    <w:rsid w:val="00E77D5A"/>
    <w:rsid w:val="00E77DF6"/>
    <w:rsid w:val="00E809A6"/>
    <w:rsid w:val="00E80B7F"/>
    <w:rsid w:val="00E81C27"/>
    <w:rsid w:val="00E8222E"/>
    <w:rsid w:val="00E822C0"/>
    <w:rsid w:val="00E829A9"/>
    <w:rsid w:val="00E82B01"/>
    <w:rsid w:val="00E8312F"/>
    <w:rsid w:val="00E831DB"/>
    <w:rsid w:val="00E8383A"/>
    <w:rsid w:val="00E83F86"/>
    <w:rsid w:val="00E84759"/>
    <w:rsid w:val="00E848D6"/>
    <w:rsid w:val="00E869B8"/>
    <w:rsid w:val="00E870C4"/>
    <w:rsid w:val="00E874CB"/>
    <w:rsid w:val="00E87F19"/>
    <w:rsid w:val="00E90584"/>
    <w:rsid w:val="00E9074F"/>
    <w:rsid w:val="00E907D5"/>
    <w:rsid w:val="00E90BEA"/>
    <w:rsid w:val="00E91418"/>
    <w:rsid w:val="00E91B98"/>
    <w:rsid w:val="00E91E54"/>
    <w:rsid w:val="00E92504"/>
    <w:rsid w:val="00E92574"/>
    <w:rsid w:val="00E931AE"/>
    <w:rsid w:val="00E93628"/>
    <w:rsid w:val="00E939FA"/>
    <w:rsid w:val="00E93AB7"/>
    <w:rsid w:val="00E94076"/>
    <w:rsid w:val="00E94127"/>
    <w:rsid w:val="00E94DD4"/>
    <w:rsid w:val="00E95035"/>
    <w:rsid w:val="00E95692"/>
    <w:rsid w:val="00E95D77"/>
    <w:rsid w:val="00E95EC6"/>
    <w:rsid w:val="00E96575"/>
    <w:rsid w:val="00E97023"/>
    <w:rsid w:val="00E975B7"/>
    <w:rsid w:val="00EA00D1"/>
    <w:rsid w:val="00EA0104"/>
    <w:rsid w:val="00EA05BB"/>
    <w:rsid w:val="00EA10D3"/>
    <w:rsid w:val="00EA1A9D"/>
    <w:rsid w:val="00EA1D6C"/>
    <w:rsid w:val="00EA29B4"/>
    <w:rsid w:val="00EA3768"/>
    <w:rsid w:val="00EA41D1"/>
    <w:rsid w:val="00EA5031"/>
    <w:rsid w:val="00EA5295"/>
    <w:rsid w:val="00EA53BC"/>
    <w:rsid w:val="00EA552D"/>
    <w:rsid w:val="00EA5674"/>
    <w:rsid w:val="00EA569B"/>
    <w:rsid w:val="00EA5DCD"/>
    <w:rsid w:val="00EA66D5"/>
    <w:rsid w:val="00EA6DC3"/>
    <w:rsid w:val="00EA6EBA"/>
    <w:rsid w:val="00EA7099"/>
    <w:rsid w:val="00EA78CF"/>
    <w:rsid w:val="00EA791E"/>
    <w:rsid w:val="00EB09CC"/>
    <w:rsid w:val="00EB0A4C"/>
    <w:rsid w:val="00EB0C4F"/>
    <w:rsid w:val="00EB0C5B"/>
    <w:rsid w:val="00EB0D84"/>
    <w:rsid w:val="00EB0FBF"/>
    <w:rsid w:val="00EB13D2"/>
    <w:rsid w:val="00EB1449"/>
    <w:rsid w:val="00EB17A6"/>
    <w:rsid w:val="00EB1DA1"/>
    <w:rsid w:val="00EB23D7"/>
    <w:rsid w:val="00EB2867"/>
    <w:rsid w:val="00EB3164"/>
    <w:rsid w:val="00EB36B1"/>
    <w:rsid w:val="00EB4C41"/>
    <w:rsid w:val="00EB4FDF"/>
    <w:rsid w:val="00EB539B"/>
    <w:rsid w:val="00EB5776"/>
    <w:rsid w:val="00EB5978"/>
    <w:rsid w:val="00EB5F96"/>
    <w:rsid w:val="00EB6589"/>
    <w:rsid w:val="00EB78CD"/>
    <w:rsid w:val="00EC07CF"/>
    <w:rsid w:val="00EC1984"/>
    <w:rsid w:val="00EC1A75"/>
    <w:rsid w:val="00EC1BCB"/>
    <w:rsid w:val="00EC1D15"/>
    <w:rsid w:val="00EC1D4B"/>
    <w:rsid w:val="00EC2304"/>
    <w:rsid w:val="00EC267C"/>
    <w:rsid w:val="00EC2994"/>
    <w:rsid w:val="00EC3165"/>
    <w:rsid w:val="00EC382A"/>
    <w:rsid w:val="00EC38D4"/>
    <w:rsid w:val="00EC3A44"/>
    <w:rsid w:val="00EC3CC0"/>
    <w:rsid w:val="00EC3D61"/>
    <w:rsid w:val="00EC4251"/>
    <w:rsid w:val="00EC47E6"/>
    <w:rsid w:val="00EC487B"/>
    <w:rsid w:val="00EC5541"/>
    <w:rsid w:val="00EC63BC"/>
    <w:rsid w:val="00EC69B1"/>
    <w:rsid w:val="00EC6A41"/>
    <w:rsid w:val="00EC6D4A"/>
    <w:rsid w:val="00EC76BC"/>
    <w:rsid w:val="00ED0790"/>
    <w:rsid w:val="00ED0EC2"/>
    <w:rsid w:val="00ED148F"/>
    <w:rsid w:val="00ED17C4"/>
    <w:rsid w:val="00ED19CB"/>
    <w:rsid w:val="00ED208B"/>
    <w:rsid w:val="00ED24F7"/>
    <w:rsid w:val="00ED25E8"/>
    <w:rsid w:val="00ED25FD"/>
    <w:rsid w:val="00ED2705"/>
    <w:rsid w:val="00ED3556"/>
    <w:rsid w:val="00ED36F6"/>
    <w:rsid w:val="00ED451A"/>
    <w:rsid w:val="00ED46BE"/>
    <w:rsid w:val="00ED47B1"/>
    <w:rsid w:val="00ED51A0"/>
    <w:rsid w:val="00ED580F"/>
    <w:rsid w:val="00ED5BEB"/>
    <w:rsid w:val="00ED5C15"/>
    <w:rsid w:val="00ED6359"/>
    <w:rsid w:val="00ED63BF"/>
    <w:rsid w:val="00ED68E6"/>
    <w:rsid w:val="00ED6ECD"/>
    <w:rsid w:val="00ED7A7B"/>
    <w:rsid w:val="00ED7AD5"/>
    <w:rsid w:val="00ED7DCA"/>
    <w:rsid w:val="00ED7F8A"/>
    <w:rsid w:val="00EE0202"/>
    <w:rsid w:val="00EE0247"/>
    <w:rsid w:val="00EE0A32"/>
    <w:rsid w:val="00EE10A0"/>
    <w:rsid w:val="00EE209C"/>
    <w:rsid w:val="00EE21A7"/>
    <w:rsid w:val="00EE27B8"/>
    <w:rsid w:val="00EE2A76"/>
    <w:rsid w:val="00EE2E79"/>
    <w:rsid w:val="00EE3544"/>
    <w:rsid w:val="00EE37A7"/>
    <w:rsid w:val="00EE38AD"/>
    <w:rsid w:val="00EE3FBA"/>
    <w:rsid w:val="00EE4BAA"/>
    <w:rsid w:val="00EE5E7B"/>
    <w:rsid w:val="00EE67F2"/>
    <w:rsid w:val="00EE6E7C"/>
    <w:rsid w:val="00EE7B95"/>
    <w:rsid w:val="00EF0567"/>
    <w:rsid w:val="00EF0712"/>
    <w:rsid w:val="00EF0D48"/>
    <w:rsid w:val="00EF0DE3"/>
    <w:rsid w:val="00EF186C"/>
    <w:rsid w:val="00EF215B"/>
    <w:rsid w:val="00EF2EFB"/>
    <w:rsid w:val="00EF324C"/>
    <w:rsid w:val="00EF3492"/>
    <w:rsid w:val="00EF3619"/>
    <w:rsid w:val="00EF3970"/>
    <w:rsid w:val="00EF60AA"/>
    <w:rsid w:val="00EF61A7"/>
    <w:rsid w:val="00EF6BEE"/>
    <w:rsid w:val="00EF6E7D"/>
    <w:rsid w:val="00EF7307"/>
    <w:rsid w:val="00F009B7"/>
    <w:rsid w:val="00F01902"/>
    <w:rsid w:val="00F02203"/>
    <w:rsid w:val="00F02240"/>
    <w:rsid w:val="00F02D47"/>
    <w:rsid w:val="00F037B0"/>
    <w:rsid w:val="00F03BF5"/>
    <w:rsid w:val="00F03D87"/>
    <w:rsid w:val="00F0455E"/>
    <w:rsid w:val="00F04881"/>
    <w:rsid w:val="00F04CF0"/>
    <w:rsid w:val="00F050E8"/>
    <w:rsid w:val="00F055C0"/>
    <w:rsid w:val="00F05AD5"/>
    <w:rsid w:val="00F05FA0"/>
    <w:rsid w:val="00F06E3D"/>
    <w:rsid w:val="00F0702A"/>
    <w:rsid w:val="00F075A7"/>
    <w:rsid w:val="00F07955"/>
    <w:rsid w:val="00F10663"/>
    <w:rsid w:val="00F11881"/>
    <w:rsid w:val="00F12054"/>
    <w:rsid w:val="00F120E9"/>
    <w:rsid w:val="00F12AD5"/>
    <w:rsid w:val="00F12B84"/>
    <w:rsid w:val="00F132B6"/>
    <w:rsid w:val="00F1367B"/>
    <w:rsid w:val="00F14B4B"/>
    <w:rsid w:val="00F14F01"/>
    <w:rsid w:val="00F15009"/>
    <w:rsid w:val="00F15300"/>
    <w:rsid w:val="00F15901"/>
    <w:rsid w:val="00F1650C"/>
    <w:rsid w:val="00F16529"/>
    <w:rsid w:val="00F1690D"/>
    <w:rsid w:val="00F16A7B"/>
    <w:rsid w:val="00F16F41"/>
    <w:rsid w:val="00F16F4E"/>
    <w:rsid w:val="00F16FB9"/>
    <w:rsid w:val="00F17210"/>
    <w:rsid w:val="00F179C8"/>
    <w:rsid w:val="00F17A19"/>
    <w:rsid w:val="00F202AA"/>
    <w:rsid w:val="00F208F7"/>
    <w:rsid w:val="00F20F8F"/>
    <w:rsid w:val="00F21582"/>
    <w:rsid w:val="00F218B8"/>
    <w:rsid w:val="00F21D96"/>
    <w:rsid w:val="00F2243D"/>
    <w:rsid w:val="00F227AF"/>
    <w:rsid w:val="00F22EC6"/>
    <w:rsid w:val="00F23575"/>
    <w:rsid w:val="00F23741"/>
    <w:rsid w:val="00F23D29"/>
    <w:rsid w:val="00F23EF3"/>
    <w:rsid w:val="00F24328"/>
    <w:rsid w:val="00F24936"/>
    <w:rsid w:val="00F2549A"/>
    <w:rsid w:val="00F25735"/>
    <w:rsid w:val="00F25C22"/>
    <w:rsid w:val="00F25F9E"/>
    <w:rsid w:val="00F263D5"/>
    <w:rsid w:val="00F26470"/>
    <w:rsid w:val="00F2660F"/>
    <w:rsid w:val="00F26E3E"/>
    <w:rsid w:val="00F27B20"/>
    <w:rsid w:val="00F30444"/>
    <w:rsid w:val="00F30A5C"/>
    <w:rsid w:val="00F30BFF"/>
    <w:rsid w:val="00F313FB"/>
    <w:rsid w:val="00F32039"/>
    <w:rsid w:val="00F328C1"/>
    <w:rsid w:val="00F32C14"/>
    <w:rsid w:val="00F334A3"/>
    <w:rsid w:val="00F335B3"/>
    <w:rsid w:val="00F33C79"/>
    <w:rsid w:val="00F33D33"/>
    <w:rsid w:val="00F340BF"/>
    <w:rsid w:val="00F34A46"/>
    <w:rsid w:val="00F35AF2"/>
    <w:rsid w:val="00F35C53"/>
    <w:rsid w:val="00F3690E"/>
    <w:rsid w:val="00F36A8B"/>
    <w:rsid w:val="00F36F4E"/>
    <w:rsid w:val="00F374CB"/>
    <w:rsid w:val="00F37C93"/>
    <w:rsid w:val="00F37E1C"/>
    <w:rsid w:val="00F37ED2"/>
    <w:rsid w:val="00F400CE"/>
    <w:rsid w:val="00F407DE"/>
    <w:rsid w:val="00F40ACF"/>
    <w:rsid w:val="00F40D5F"/>
    <w:rsid w:val="00F41020"/>
    <w:rsid w:val="00F41348"/>
    <w:rsid w:val="00F419C9"/>
    <w:rsid w:val="00F41C5F"/>
    <w:rsid w:val="00F42252"/>
    <w:rsid w:val="00F42AC2"/>
    <w:rsid w:val="00F42D89"/>
    <w:rsid w:val="00F4350D"/>
    <w:rsid w:val="00F4365B"/>
    <w:rsid w:val="00F436A5"/>
    <w:rsid w:val="00F43D7A"/>
    <w:rsid w:val="00F43E43"/>
    <w:rsid w:val="00F43FAC"/>
    <w:rsid w:val="00F440F4"/>
    <w:rsid w:val="00F44135"/>
    <w:rsid w:val="00F44DEB"/>
    <w:rsid w:val="00F45722"/>
    <w:rsid w:val="00F45C20"/>
    <w:rsid w:val="00F45E8D"/>
    <w:rsid w:val="00F460AF"/>
    <w:rsid w:val="00F46AEE"/>
    <w:rsid w:val="00F471B1"/>
    <w:rsid w:val="00F471B2"/>
    <w:rsid w:val="00F47452"/>
    <w:rsid w:val="00F477A7"/>
    <w:rsid w:val="00F500E7"/>
    <w:rsid w:val="00F50349"/>
    <w:rsid w:val="00F504B7"/>
    <w:rsid w:val="00F50B19"/>
    <w:rsid w:val="00F515A9"/>
    <w:rsid w:val="00F51915"/>
    <w:rsid w:val="00F521CB"/>
    <w:rsid w:val="00F5291E"/>
    <w:rsid w:val="00F52AA3"/>
    <w:rsid w:val="00F53103"/>
    <w:rsid w:val="00F53FBE"/>
    <w:rsid w:val="00F5441D"/>
    <w:rsid w:val="00F54A8F"/>
    <w:rsid w:val="00F5543C"/>
    <w:rsid w:val="00F555FD"/>
    <w:rsid w:val="00F55A8A"/>
    <w:rsid w:val="00F55D5C"/>
    <w:rsid w:val="00F55E73"/>
    <w:rsid w:val="00F563FD"/>
    <w:rsid w:val="00F56927"/>
    <w:rsid w:val="00F56C10"/>
    <w:rsid w:val="00F56C42"/>
    <w:rsid w:val="00F60676"/>
    <w:rsid w:val="00F60800"/>
    <w:rsid w:val="00F610D4"/>
    <w:rsid w:val="00F611C5"/>
    <w:rsid w:val="00F613AE"/>
    <w:rsid w:val="00F61895"/>
    <w:rsid w:val="00F61B42"/>
    <w:rsid w:val="00F61BE2"/>
    <w:rsid w:val="00F6229C"/>
    <w:rsid w:val="00F6234F"/>
    <w:rsid w:val="00F62672"/>
    <w:rsid w:val="00F627C6"/>
    <w:rsid w:val="00F62A19"/>
    <w:rsid w:val="00F62BBE"/>
    <w:rsid w:val="00F63607"/>
    <w:rsid w:val="00F64D11"/>
    <w:rsid w:val="00F64E22"/>
    <w:rsid w:val="00F64E24"/>
    <w:rsid w:val="00F6504E"/>
    <w:rsid w:val="00F653FE"/>
    <w:rsid w:val="00F6547A"/>
    <w:rsid w:val="00F65481"/>
    <w:rsid w:val="00F65CAD"/>
    <w:rsid w:val="00F66BBC"/>
    <w:rsid w:val="00F67143"/>
    <w:rsid w:val="00F67CF4"/>
    <w:rsid w:val="00F70143"/>
    <w:rsid w:val="00F705D0"/>
    <w:rsid w:val="00F7072A"/>
    <w:rsid w:val="00F7084A"/>
    <w:rsid w:val="00F70D21"/>
    <w:rsid w:val="00F7157B"/>
    <w:rsid w:val="00F716D0"/>
    <w:rsid w:val="00F71A51"/>
    <w:rsid w:val="00F72150"/>
    <w:rsid w:val="00F72197"/>
    <w:rsid w:val="00F725FE"/>
    <w:rsid w:val="00F72762"/>
    <w:rsid w:val="00F72E32"/>
    <w:rsid w:val="00F72EFA"/>
    <w:rsid w:val="00F74B93"/>
    <w:rsid w:val="00F74F07"/>
    <w:rsid w:val="00F750AD"/>
    <w:rsid w:val="00F75438"/>
    <w:rsid w:val="00F758FB"/>
    <w:rsid w:val="00F75A7C"/>
    <w:rsid w:val="00F75E01"/>
    <w:rsid w:val="00F76731"/>
    <w:rsid w:val="00F7692F"/>
    <w:rsid w:val="00F76CF3"/>
    <w:rsid w:val="00F76E46"/>
    <w:rsid w:val="00F76F04"/>
    <w:rsid w:val="00F77226"/>
    <w:rsid w:val="00F7761D"/>
    <w:rsid w:val="00F803F5"/>
    <w:rsid w:val="00F80731"/>
    <w:rsid w:val="00F8083B"/>
    <w:rsid w:val="00F813CA"/>
    <w:rsid w:val="00F81927"/>
    <w:rsid w:val="00F824DE"/>
    <w:rsid w:val="00F82598"/>
    <w:rsid w:val="00F825AD"/>
    <w:rsid w:val="00F8284A"/>
    <w:rsid w:val="00F82971"/>
    <w:rsid w:val="00F82C23"/>
    <w:rsid w:val="00F83162"/>
    <w:rsid w:val="00F832DA"/>
    <w:rsid w:val="00F843FA"/>
    <w:rsid w:val="00F84888"/>
    <w:rsid w:val="00F8499D"/>
    <w:rsid w:val="00F849E4"/>
    <w:rsid w:val="00F84A54"/>
    <w:rsid w:val="00F85BA5"/>
    <w:rsid w:val="00F85C1F"/>
    <w:rsid w:val="00F86443"/>
    <w:rsid w:val="00F8674D"/>
    <w:rsid w:val="00F86A20"/>
    <w:rsid w:val="00F86FE2"/>
    <w:rsid w:val="00F87056"/>
    <w:rsid w:val="00F875B8"/>
    <w:rsid w:val="00F8766E"/>
    <w:rsid w:val="00F8778C"/>
    <w:rsid w:val="00F90985"/>
    <w:rsid w:val="00F90C0C"/>
    <w:rsid w:val="00F90C73"/>
    <w:rsid w:val="00F91249"/>
    <w:rsid w:val="00F913B5"/>
    <w:rsid w:val="00F913B7"/>
    <w:rsid w:val="00F9163A"/>
    <w:rsid w:val="00F9169D"/>
    <w:rsid w:val="00F91B16"/>
    <w:rsid w:val="00F920B5"/>
    <w:rsid w:val="00F920B6"/>
    <w:rsid w:val="00F92352"/>
    <w:rsid w:val="00F92758"/>
    <w:rsid w:val="00F92BB8"/>
    <w:rsid w:val="00F92CFD"/>
    <w:rsid w:val="00F9342C"/>
    <w:rsid w:val="00F93AE1"/>
    <w:rsid w:val="00F93B86"/>
    <w:rsid w:val="00F93DA2"/>
    <w:rsid w:val="00F93EE3"/>
    <w:rsid w:val="00F9503A"/>
    <w:rsid w:val="00F953F5"/>
    <w:rsid w:val="00F957B6"/>
    <w:rsid w:val="00F95892"/>
    <w:rsid w:val="00F9624E"/>
    <w:rsid w:val="00F96767"/>
    <w:rsid w:val="00F973E1"/>
    <w:rsid w:val="00F975BB"/>
    <w:rsid w:val="00F97841"/>
    <w:rsid w:val="00F97BBB"/>
    <w:rsid w:val="00FA0C21"/>
    <w:rsid w:val="00FA0F9A"/>
    <w:rsid w:val="00FA141F"/>
    <w:rsid w:val="00FA17C3"/>
    <w:rsid w:val="00FA1A8A"/>
    <w:rsid w:val="00FA2938"/>
    <w:rsid w:val="00FA2FBF"/>
    <w:rsid w:val="00FA32B6"/>
    <w:rsid w:val="00FA3E53"/>
    <w:rsid w:val="00FA3F83"/>
    <w:rsid w:val="00FA40E5"/>
    <w:rsid w:val="00FA4799"/>
    <w:rsid w:val="00FA5010"/>
    <w:rsid w:val="00FA557A"/>
    <w:rsid w:val="00FA5CF8"/>
    <w:rsid w:val="00FA619F"/>
    <w:rsid w:val="00FA682A"/>
    <w:rsid w:val="00FA694C"/>
    <w:rsid w:val="00FA766B"/>
    <w:rsid w:val="00FA7805"/>
    <w:rsid w:val="00FA7955"/>
    <w:rsid w:val="00FA7A18"/>
    <w:rsid w:val="00FB015B"/>
    <w:rsid w:val="00FB0B39"/>
    <w:rsid w:val="00FB0B3E"/>
    <w:rsid w:val="00FB0CD5"/>
    <w:rsid w:val="00FB0D63"/>
    <w:rsid w:val="00FB13B4"/>
    <w:rsid w:val="00FB22FE"/>
    <w:rsid w:val="00FB2806"/>
    <w:rsid w:val="00FB2F4F"/>
    <w:rsid w:val="00FB43F0"/>
    <w:rsid w:val="00FB4B1C"/>
    <w:rsid w:val="00FB5217"/>
    <w:rsid w:val="00FB5983"/>
    <w:rsid w:val="00FB6582"/>
    <w:rsid w:val="00FB7765"/>
    <w:rsid w:val="00FB7B48"/>
    <w:rsid w:val="00FB7B94"/>
    <w:rsid w:val="00FB7DD6"/>
    <w:rsid w:val="00FB7FD5"/>
    <w:rsid w:val="00FC005A"/>
    <w:rsid w:val="00FC03B5"/>
    <w:rsid w:val="00FC0B65"/>
    <w:rsid w:val="00FC14EC"/>
    <w:rsid w:val="00FC1EF2"/>
    <w:rsid w:val="00FC207A"/>
    <w:rsid w:val="00FC225C"/>
    <w:rsid w:val="00FC25AB"/>
    <w:rsid w:val="00FC364F"/>
    <w:rsid w:val="00FC3986"/>
    <w:rsid w:val="00FC3B24"/>
    <w:rsid w:val="00FC4065"/>
    <w:rsid w:val="00FC461C"/>
    <w:rsid w:val="00FC50BC"/>
    <w:rsid w:val="00FC57DF"/>
    <w:rsid w:val="00FC587F"/>
    <w:rsid w:val="00FC6C1C"/>
    <w:rsid w:val="00FC70C8"/>
    <w:rsid w:val="00FC7F56"/>
    <w:rsid w:val="00FD0237"/>
    <w:rsid w:val="00FD0CEF"/>
    <w:rsid w:val="00FD1FFB"/>
    <w:rsid w:val="00FD2465"/>
    <w:rsid w:val="00FD2EB6"/>
    <w:rsid w:val="00FD393D"/>
    <w:rsid w:val="00FD3DE2"/>
    <w:rsid w:val="00FD3F1C"/>
    <w:rsid w:val="00FD47F6"/>
    <w:rsid w:val="00FD4BFE"/>
    <w:rsid w:val="00FD5490"/>
    <w:rsid w:val="00FD5780"/>
    <w:rsid w:val="00FD60A1"/>
    <w:rsid w:val="00FD6574"/>
    <w:rsid w:val="00FD66E1"/>
    <w:rsid w:val="00FD7306"/>
    <w:rsid w:val="00FD7314"/>
    <w:rsid w:val="00FD73FB"/>
    <w:rsid w:val="00FD7940"/>
    <w:rsid w:val="00FD7C6F"/>
    <w:rsid w:val="00FD7D4D"/>
    <w:rsid w:val="00FD7D84"/>
    <w:rsid w:val="00FE09AC"/>
    <w:rsid w:val="00FE10AE"/>
    <w:rsid w:val="00FE1765"/>
    <w:rsid w:val="00FE1A2E"/>
    <w:rsid w:val="00FE2D22"/>
    <w:rsid w:val="00FE34D9"/>
    <w:rsid w:val="00FE35D1"/>
    <w:rsid w:val="00FE362B"/>
    <w:rsid w:val="00FE3F74"/>
    <w:rsid w:val="00FE3FC2"/>
    <w:rsid w:val="00FE4438"/>
    <w:rsid w:val="00FE4633"/>
    <w:rsid w:val="00FE4806"/>
    <w:rsid w:val="00FE527B"/>
    <w:rsid w:val="00FE60E2"/>
    <w:rsid w:val="00FE64A9"/>
    <w:rsid w:val="00FE740C"/>
    <w:rsid w:val="00FE762C"/>
    <w:rsid w:val="00FF061D"/>
    <w:rsid w:val="00FF0743"/>
    <w:rsid w:val="00FF0BB5"/>
    <w:rsid w:val="00FF123E"/>
    <w:rsid w:val="00FF1391"/>
    <w:rsid w:val="00FF197D"/>
    <w:rsid w:val="00FF1D38"/>
    <w:rsid w:val="00FF2017"/>
    <w:rsid w:val="00FF2219"/>
    <w:rsid w:val="00FF3458"/>
    <w:rsid w:val="00FF4072"/>
    <w:rsid w:val="00FF4212"/>
    <w:rsid w:val="00FF4902"/>
    <w:rsid w:val="00FF491E"/>
    <w:rsid w:val="00FF5369"/>
    <w:rsid w:val="00FF5BC9"/>
    <w:rsid w:val="00FF5DA7"/>
    <w:rsid w:val="00FF6244"/>
    <w:rsid w:val="00FF635A"/>
    <w:rsid w:val="00FF6664"/>
    <w:rsid w:val="00FF678F"/>
    <w:rsid w:val="00FF6BE5"/>
    <w:rsid w:val="00FF77D5"/>
    <w:rsid w:val="00FF7950"/>
    <w:rsid w:val="01EC6D10"/>
    <w:rsid w:val="026C21F1"/>
    <w:rsid w:val="03DE370C"/>
    <w:rsid w:val="04B13C1F"/>
    <w:rsid w:val="05D4309B"/>
    <w:rsid w:val="065150C4"/>
    <w:rsid w:val="07456CFC"/>
    <w:rsid w:val="07685361"/>
    <w:rsid w:val="08181F45"/>
    <w:rsid w:val="083A3F7E"/>
    <w:rsid w:val="09354491"/>
    <w:rsid w:val="0B2E5519"/>
    <w:rsid w:val="0B431120"/>
    <w:rsid w:val="0BBE7E63"/>
    <w:rsid w:val="0C651FA7"/>
    <w:rsid w:val="0D3D1EAE"/>
    <w:rsid w:val="0F720C87"/>
    <w:rsid w:val="0F7D59F6"/>
    <w:rsid w:val="10B10FD7"/>
    <w:rsid w:val="13252204"/>
    <w:rsid w:val="13B95037"/>
    <w:rsid w:val="144326EC"/>
    <w:rsid w:val="154811A8"/>
    <w:rsid w:val="15FB1C74"/>
    <w:rsid w:val="18540B58"/>
    <w:rsid w:val="19120228"/>
    <w:rsid w:val="191D51C7"/>
    <w:rsid w:val="194D51B6"/>
    <w:rsid w:val="1A1A7F48"/>
    <w:rsid w:val="1A2B10F9"/>
    <w:rsid w:val="1B3C1DD8"/>
    <w:rsid w:val="1D2C53A3"/>
    <w:rsid w:val="1D8614B0"/>
    <w:rsid w:val="1E177425"/>
    <w:rsid w:val="204563CC"/>
    <w:rsid w:val="20474C5B"/>
    <w:rsid w:val="20E36043"/>
    <w:rsid w:val="21B90060"/>
    <w:rsid w:val="22775610"/>
    <w:rsid w:val="239E1A70"/>
    <w:rsid w:val="23FB7914"/>
    <w:rsid w:val="2459377B"/>
    <w:rsid w:val="24CA0A5A"/>
    <w:rsid w:val="268D51D4"/>
    <w:rsid w:val="289363DE"/>
    <w:rsid w:val="28EA443D"/>
    <w:rsid w:val="29042D2C"/>
    <w:rsid w:val="29E41742"/>
    <w:rsid w:val="2AE46658"/>
    <w:rsid w:val="2AEC10A3"/>
    <w:rsid w:val="2B671526"/>
    <w:rsid w:val="2BCF782F"/>
    <w:rsid w:val="2BE97B66"/>
    <w:rsid w:val="2C482942"/>
    <w:rsid w:val="2C5E1E60"/>
    <w:rsid w:val="2CC74842"/>
    <w:rsid w:val="2E5A3C96"/>
    <w:rsid w:val="2F312543"/>
    <w:rsid w:val="2F8C7F5C"/>
    <w:rsid w:val="2FB2501E"/>
    <w:rsid w:val="32147DC4"/>
    <w:rsid w:val="324F320B"/>
    <w:rsid w:val="325B46A3"/>
    <w:rsid w:val="34C374AD"/>
    <w:rsid w:val="353C45ED"/>
    <w:rsid w:val="35616529"/>
    <w:rsid w:val="35C828C9"/>
    <w:rsid w:val="35FD12B2"/>
    <w:rsid w:val="36870A2A"/>
    <w:rsid w:val="370C56F3"/>
    <w:rsid w:val="373874DE"/>
    <w:rsid w:val="37904D56"/>
    <w:rsid w:val="389C3213"/>
    <w:rsid w:val="39D220E5"/>
    <w:rsid w:val="39F723CF"/>
    <w:rsid w:val="3A77093E"/>
    <w:rsid w:val="3BBD3316"/>
    <w:rsid w:val="3C21710D"/>
    <w:rsid w:val="3CC41F84"/>
    <w:rsid w:val="3D2F4655"/>
    <w:rsid w:val="3D400BA9"/>
    <w:rsid w:val="3D64032A"/>
    <w:rsid w:val="3DF95A66"/>
    <w:rsid w:val="3E4B6A9B"/>
    <w:rsid w:val="3EB428B0"/>
    <w:rsid w:val="4007090C"/>
    <w:rsid w:val="40546F2B"/>
    <w:rsid w:val="40AD2461"/>
    <w:rsid w:val="410A18D8"/>
    <w:rsid w:val="418D7D70"/>
    <w:rsid w:val="42EA0B36"/>
    <w:rsid w:val="433F5D44"/>
    <w:rsid w:val="43E550B8"/>
    <w:rsid w:val="44B553BD"/>
    <w:rsid w:val="45E432AE"/>
    <w:rsid w:val="45EB1BE1"/>
    <w:rsid w:val="467A7452"/>
    <w:rsid w:val="47C1264B"/>
    <w:rsid w:val="48BE2CDD"/>
    <w:rsid w:val="48C8585F"/>
    <w:rsid w:val="49940732"/>
    <w:rsid w:val="4A646777"/>
    <w:rsid w:val="4A880DD3"/>
    <w:rsid w:val="4BB3059E"/>
    <w:rsid w:val="4E055E8C"/>
    <w:rsid w:val="4EBF6FC0"/>
    <w:rsid w:val="4F3F76F2"/>
    <w:rsid w:val="4F641F62"/>
    <w:rsid w:val="510B13F4"/>
    <w:rsid w:val="51105A99"/>
    <w:rsid w:val="52310E93"/>
    <w:rsid w:val="527C2613"/>
    <w:rsid w:val="53397A0C"/>
    <w:rsid w:val="53E92AEF"/>
    <w:rsid w:val="548B53B5"/>
    <w:rsid w:val="54AA3462"/>
    <w:rsid w:val="54B6568B"/>
    <w:rsid w:val="55552A23"/>
    <w:rsid w:val="56AE0C92"/>
    <w:rsid w:val="572162ED"/>
    <w:rsid w:val="57B32A9F"/>
    <w:rsid w:val="57BD0D5E"/>
    <w:rsid w:val="58047FBD"/>
    <w:rsid w:val="58925DB9"/>
    <w:rsid w:val="5A982114"/>
    <w:rsid w:val="5AEB2255"/>
    <w:rsid w:val="5AF00933"/>
    <w:rsid w:val="5B5317F3"/>
    <w:rsid w:val="5C9F2C03"/>
    <w:rsid w:val="5D494803"/>
    <w:rsid w:val="5E593512"/>
    <w:rsid w:val="5F00399C"/>
    <w:rsid w:val="5F1832FB"/>
    <w:rsid w:val="5FF97134"/>
    <w:rsid w:val="5FFF5ED8"/>
    <w:rsid w:val="617B794E"/>
    <w:rsid w:val="624D58C1"/>
    <w:rsid w:val="62FC1833"/>
    <w:rsid w:val="6360028A"/>
    <w:rsid w:val="63EB29AD"/>
    <w:rsid w:val="64A55D99"/>
    <w:rsid w:val="65374138"/>
    <w:rsid w:val="66C828BC"/>
    <w:rsid w:val="67026F67"/>
    <w:rsid w:val="682C661B"/>
    <w:rsid w:val="69724A89"/>
    <w:rsid w:val="69B30239"/>
    <w:rsid w:val="69F06C95"/>
    <w:rsid w:val="6C1F6348"/>
    <w:rsid w:val="6D0506ED"/>
    <w:rsid w:val="6D0B1506"/>
    <w:rsid w:val="6EF80EBA"/>
    <w:rsid w:val="70C2647F"/>
    <w:rsid w:val="74EE5E20"/>
    <w:rsid w:val="754D0E5C"/>
    <w:rsid w:val="76C66107"/>
    <w:rsid w:val="77BA4BDE"/>
    <w:rsid w:val="78847233"/>
    <w:rsid w:val="79444163"/>
    <w:rsid w:val="7A470084"/>
    <w:rsid w:val="7C974B11"/>
    <w:rsid w:val="7E0C25A3"/>
    <w:rsid w:val="7F1E79A3"/>
    <w:rsid w:val="7FDC5D91"/>
    <w:rsid w:val="7FEA5A74"/>
    <w:rsid w:val="DCBD4D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paragraph" w:styleId="2">
    <w:name w:val="heading 1"/>
    <w:basedOn w:val="1"/>
    <w:next w:val="1"/>
    <w:link w:val="51"/>
    <w:qFormat/>
    <w:uiPriority w:val="0"/>
    <w:pPr>
      <w:keepNext/>
      <w:keepLines/>
      <w:autoSpaceDE w:val="0"/>
      <w:autoSpaceDN w:val="0"/>
      <w:adjustRightInd w:val="0"/>
      <w:spacing w:before="340" w:after="330" w:line="578" w:lineRule="auto"/>
      <w:jc w:val="left"/>
      <w:textAlignment w:val="baseline"/>
      <w:outlineLvl w:val="0"/>
    </w:pPr>
    <w:rPr>
      <w:rFonts w:ascii="宋体" w:eastAsia="宋体"/>
      <w:b/>
      <w:kern w:val="44"/>
      <w:sz w:val="44"/>
    </w:rPr>
  </w:style>
  <w:style w:type="paragraph" w:styleId="3">
    <w:name w:val="heading 2"/>
    <w:basedOn w:val="1"/>
    <w:next w:val="4"/>
    <w:link w:val="53"/>
    <w:qFormat/>
    <w:uiPriority w:val="0"/>
    <w:pPr>
      <w:keepNext/>
      <w:keepLines/>
      <w:autoSpaceDE w:val="0"/>
      <w:autoSpaceDN w:val="0"/>
      <w:adjustRightInd w:val="0"/>
      <w:spacing w:before="260" w:after="260" w:line="416" w:lineRule="auto"/>
      <w:jc w:val="left"/>
      <w:textAlignment w:val="baseline"/>
      <w:outlineLvl w:val="1"/>
    </w:pPr>
    <w:rPr>
      <w:rFonts w:ascii="Arial" w:hAnsi="Arial" w:eastAsia="黑体"/>
      <w:b/>
      <w:kern w:val="0"/>
      <w:sz w:val="32"/>
    </w:rPr>
  </w:style>
  <w:style w:type="paragraph" w:styleId="5">
    <w:name w:val="heading 3"/>
    <w:basedOn w:val="1"/>
    <w:next w:val="4"/>
    <w:link w:val="54"/>
    <w:qFormat/>
    <w:uiPriority w:val="0"/>
    <w:pPr>
      <w:keepNext/>
      <w:keepLines/>
      <w:autoSpaceDE w:val="0"/>
      <w:autoSpaceDN w:val="0"/>
      <w:adjustRightInd w:val="0"/>
      <w:spacing w:before="260" w:after="260" w:line="416" w:lineRule="auto"/>
      <w:jc w:val="left"/>
      <w:textAlignment w:val="baseline"/>
      <w:outlineLvl w:val="2"/>
    </w:pPr>
    <w:rPr>
      <w:rFonts w:ascii="宋体" w:eastAsia="宋体"/>
      <w:b/>
      <w:kern w:val="0"/>
      <w:sz w:val="32"/>
    </w:rPr>
  </w:style>
  <w:style w:type="paragraph" w:styleId="6">
    <w:name w:val="heading 4"/>
    <w:basedOn w:val="1"/>
    <w:next w:val="1"/>
    <w:link w:val="55"/>
    <w:unhideWhenUsed/>
    <w:qFormat/>
    <w:uiPriority w:val="0"/>
    <w:pPr>
      <w:keepNext/>
      <w:keepLines/>
      <w:spacing w:before="280" w:after="290" w:line="376" w:lineRule="auto"/>
      <w:outlineLvl w:val="3"/>
    </w:pPr>
    <w:rPr>
      <w:rFonts w:ascii="等线 Light" w:hAnsi="等线 Light" w:eastAsia="等线 Light"/>
      <w:b/>
      <w:bCs/>
      <w:sz w:val="28"/>
      <w:szCs w:val="28"/>
    </w:rPr>
  </w:style>
  <w:style w:type="paragraph" w:styleId="7">
    <w:name w:val="heading 5"/>
    <w:basedOn w:val="1"/>
    <w:next w:val="1"/>
    <w:link w:val="56"/>
    <w:unhideWhenUsed/>
    <w:qFormat/>
    <w:uiPriority w:val="0"/>
    <w:pPr>
      <w:keepNext/>
      <w:keepLines/>
      <w:spacing w:before="280" w:after="290" w:line="376" w:lineRule="auto"/>
      <w:outlineLvl w:val="4"/>
    </w:pPr>
    <w:rPr>
      <w:b/>
      <w:bCs/>
      <w:sz w:val="28"/>
      <w:szCs w:val="28"/>
    </w:rPr>
  </w:style>
  <w:style w:type="paragraph" w:styleId="8">
    <w:name w:val="heading 6"/>
    <w:basedOn w:val="1"/>
    <w:next w:val="1"/>
    <w:link w:val="57"/>
    <w:qFormat/>
    <w:uiPriority w:val="0"/>
    <w:pPr>
      <w:keepNext/>
      <w:keepLines/>
      <w:spacing w:before="240" w:after="64" w:line="320" w:lineRule="auto"/>
      <w:outlineLvl w:val="5"/>
    </w:pPr>
    <w:rPr>
      <w:rFonts w:ascii="Calibri Light" w:hAnsi="Calibri Light" w:eastAsia="宋体"/>
      <w:b/>
      <w:bCs/>
      <w:sz w:val="24"/>
      <w:szCs w:val="24"/>
    </w:rPr>
  </w:style>
  <w:style w:type="paragraph" w:styleId="9">
    <w:name w:val="heading 7"/>
    <w:basedOn w:val="1"/>
    <w:next w:val="4"/>
    <w:link w:val="58"/>
    <w:qFormat/>
    <w:uiPriority w:val="0"/>
    <w:pPr>
      <w:keepNext/>
      <w:numPr>
        <w:ilvl w:val="6"/>
        <w:numId w:val="1"/>
      </w:numPr>
      <w:tabs>
        <w:tab w:val="left" w:pos="360"/>
        <w:tab w:val="clear" w:pos="1296"/>
      </w:tabs>
      <w:autoSpaceDE w:val="0"/>
      <w:autoSpaceDN w:val="0"/>
      <w:adjustRightInd w:val="0"/>
      <w:spacing w:before="240" w:after="64" w:line="320" w:lineRule="auto"/>
      <w:ind w:left="0" w:firstLine="0"/>
      <w:outlineLvl w:val="6"/>
    </w:pPr>
    <w:rPr>
      <w:rFonts w:ascii="宋体" w:eastAsia="宋体"/>
      <w:b/>
      <w:color w:val="000000"/>
      <w:sz w:val="24"/>
      <w:szCs w:val="24"/>
    </w:rPr>
  </w:style>
  <w:style w:type="paragraph" w:styleId="10">
    <w:name w:val="heading 8"/>
    <w:basedOn w:val="1"/>
    <w:next w:val="4"/>
    <w:link w:val="59"/>
    <w:qFormat/>
    <w:uiPriority w:val="0"/>
    <w:pPr>
      <w:keepNext/>
      <w:numPr>
        <w:ilvl w:val="7"/>
        <w:numId w:val="1"/>
      </w:numPr>
      <w:tabs>
        <w:tab w:val="left" w:pos="360"/>
        <w:tab w:val="clear" w:pos="1440"/>
      </w:tabs>
      <w:autoSpaceDE w:val="0"/>
      <w:autoSpaceDN w:val="0"/>
      <w:adjustRightInd w:val="0"/>
      <w:spacing w:before="240" w:after="64" w:line="320" w:lineRule="auto"/>
      <w:ind w:left="0" w:firstLine="0"/>
      <w:outlineLvl w:val="7"/>
    </w:pPr>
    <w:rPr>
      <w:rFonts w:ascii="Arial" w:hAnsi="Arial" w:eastAsia="黑体"/>
      <w:color w:val="000000"/>
      <w:sz w:val="24"/>
      <w:szCs w:val="24"/>
    </w:rPr>
  </w:style>
  <w:style w:type="paragraph" w:styleId="11">
    <w:name w:val="heading 9"/>
    <w:basedOn w:val="1"/>
    <w:next w:val="4"/>
    <w:link w:val="60"/>
    <w:qFormat/>
    <w:uiPriority w:val="0"/>
    <w:pPr>
      <w:keepNext/>
      <w:numPr>
        <w:ilvl w:val="8"/>
        <w:numId w:val="1"/>
      </w:numPr>
      <w:tabs>
        <w:tab w:val="left" w:pos="360"/>
        <w:tab w:val="clear" w:pos="1584"/>
      </w:tabs>
      <w:autoSpaceDE w:val="0"/>
      <w:autoSpaceDN w:val="0"/>
      <w:adjustRightInd w:val="0"/>
      <w:spacing w:before="240" w:after="64" w:line="320" w:lineRule="auto"/>
      <w:ind w:left="0" w:firstLine="0"/>
      <w:outlineLvl w:val="8"/>
    </w:pPr>
    <w:rPr>
      <w:rFonts w:ascii="Arial" w:hAnsi="Arial" w:eastAsia="黑体"/>
      <w:color w:val="000000"/>
      <w:sz w:val="24"/>
      <w:szCs w:val="24"/>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52"/>
    <w:qFormat/>
    <w:uiPriority w:val="0"/>
    <w:pPr>
      <w:autoSpaceDE w:val="0"/>
      <w:autoSpaceDN w:val="0"/>
      <w:adjustRightInd w:val="0"/>
      <w:ind w:firstLine="420"/>
      <w:jc w:val="left"/>
      <w:textAlignment w:val="baseline"/>
    </w:pPr>
    <w:rPr>
      <w:rFonts w:ascii="宋体" w:eastAsia="宋体"/>
      <w:kern w:val="0"/>
      <w:sz w:val="34"/>
    </w:rPr>
  </w:style>
  <w:style w:type="paragraph" w:styleId="12">
    <w:name w:val="toc 7"/>
    <w:basedOn w:val="1"/>
    <w:next w:val="1"/>
    <w:qFormat/>
    <w:uiPriority w:val="39"/>
    <w:pPr>
      <w:ind w:left="2520" w:leftChars="1200"/>
    </w:pPr>
    <w:rPr>
      <w:rFonts w:ascii="Calibri" w:hAnsi="Calibri" w:eastAsia="宋体"/>
      <w:sz w:val="21"/>
      <w:szCs w:val="22"/>
    </w:rPr>
  </w:style>
  <w:style w:type="paragraph" w:styleId="13">
    <w:name w:val="caption"/>
    <w:basedOn w:val="1"/>
    <w:next w:val="1"/>
    <w:qFormat/>
    <w:uiPriority w:val="0"/>
    <w:rPr>
      <w:rFonts w:ascii="Arial" w:hAnsi="Arial" w:eastAsia="黑体" w:cs="Arial"/>
      <w:sz w:val="20"/>
    </w:rPr>
  </w:style>
  <w:style w:type="paragraph" w:styleId="14">
    <w:name w:val="Document Map"/>
    <w:basedOn w:val="1"/>
    <w:link w:val="74"/>
    <w:qFormat/>
    <w:uiPriority w:val="0"/>
    <w:pPr>
      <w:shd w:val="clear" w:color="auto" w:fill="000080"/>
    </w:pPr>
    <w:rPr>
      <w:kern w:val="0"/>
      <w:shd w:val="clear" w:color="auto" w:fill="000080"/>
    </w:rPr>
  </w:style>
  <w:style w:type="paragraph" w:styleId="15">
    <w:name w:val="annotation text"/>
    <w:basedOn w:val="1"/>
    <w:link w:val="81"/>
    <w:qFormat/>
    <w:uiPriority w:val="0"/>
    <w:pPr>
      <w:jc w:val="left"/>
    </w:pPr>
    <w:rPr>
      <w:rFonts w:eastAsia="宋体"/>
      <w:sz w:val="21"/>
      <w:szCs w:val="24"/>
    </w:rPr>
  </w:style>
  <w:style w:type="paragraph" w:styleId="16">
    <w:name w:val="Body Text 3"/>
    <w:basedOn w:val="1"/>
    <w:link w:val="86"/>
    <w:qFormat/>
    <w:uiPriority w:val="0"/>
    <w:pPr>
      <w:spacing w:after="120"/>
    </w:pPr>
    <w:rPr>
      <w:rFonts w:eastAsia="宋体"/>
      <w:sz w:val="16"/>
      <w:szCs w:val="16"/>
    </w:rPr>
  </w:style>
  <w:style w:type="paragraph" w:styleId="17">
    <w:name w:val="Body Text"/>
    <w:basedOn w:val="1"/>
    <w:link w:val="65"/>
    <w:qFormat/>
    <w:uiPriority w:val="0"/>
    <w:pPr>
      <w:spacing w:line="360" w:lineRule="auto"/>
    </w:pPr>
    <w:rPr>
      <w:rFonts w:ascii="仿宋_GB2312"/>
      <w:sz w:val="28"/>
    </w:rPr>
  </w:style>
  <w:style w:type="paragraph" w:styleId="18">
    <w:name w:val="Body Text Indent"/>
    <w:basedOn w:val="1"/>
    <w:link w:val="63"/>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19">
    <w:name w:val="Block Text"/>
    <w:basedOn w:val="1"/>
    <w:qFormat/>
    <w:uiPriority w:val="0"/>
    <w:pPr>
      <w:widowControl/>
      <w:ind w:left="226" w:leftChars="94" w:right="103" w:rightChars="43"/>
      <w:jc w:val="left"/>
    </w:pPr>
    <w:rPr>
      <w:rFonts w:ascii="宋体" w:hAnsi="宋体" w:eastAsia="宋体"/>
      <w:color w:val="FF0000"/>
      <w:kern w:val="0"/>
      <w:sz w:val="24"/>
      <w:szCs w:val="24"/>
    </w:rPr>
  </w:style>
  <w:style w:type="paragraph" w:styleId="20">
    <w:name w:val="index 4"/>
    <w:basedOn w:val="1"/>
    <w:next w:val="1"/>
    <w:qFormat/>
    <w:uiPriority w:val="0"/>
    <w:pPr>
      <w:ind w:left="600" w:leftChars="600"/>
    </w:pPr>
    <w:rPr>
      <w:rFonts w:eastAsia="宋体"/>
      <w:sz w:val="21"/>
      <w:szCs w:val="24"/>
    </w:rPr>
  </w:style>
  <w:style w:type="paragraph" w:styleId="21">
    <w:name w:val="toc 5"/>
    <w:basedOn w:val="1"/>
    <w:next w:val="1"/>
    <w:qFormat/>
    <w:uiPriority w:val="39"/>
    <w:pPr>
      <w:tabs>
        <w:tab w:val="right" w:leader="dot" w:pos="8296"/>
      </w:tabs>
      <w:ind w:left="1050" w:leftChars="500"/>
    </w:pPr>
    <w:rPr>
      <w:rFonts w:ascii="Calibri" w:hAnsi="Calibri" w:eastAsia="宋体"/>
      <w:sz w:val="21"/>
      <w:szCs w:val="22"/>
    </w:rPr>
  </w:style>
  <w:style w:type="paragraph" w:styleId="22">
    <w:name w:val="toc 3"/>
    <w:basedOn w:val="1"/>
    <w:next w:val="1"/>
    <w:qFormat/>
    <w:uiPriority w:val="39"/>
    <w:pPr>
      <w:tabs>
        <w:tab w:val="right" w:leader="dot" w:pos="8505"/>
      </w:tabs>
      <w:ind w:left="200" w:leftChars="200" w:right="100" w:rightChars="100"/>
      <w:jc w:val="left"/>
    </w:pPr>
    <w:rPr>
      <w:rFonts w:ascii="仿宋_GB2312" w:hAnsi="宋体" w:eastAsia="宋体"/>
      <w:sz w:val="21"/>
      <w:szCs w:val="32"/>
    </w:rPr>
  </w:style>
  <w:style w:type="paragraph" w:styleId="23">
    <w:name w:val="Plain Text"/>
    <w:basedOn w:val="1"/>
    <w:link w:val="76"/>
    <w:qFormat/>
    <w:uiPriority w:val="0"/>
    <w:rPr>
      <w:rFonts w:ascii="宋体" w:hAnsi="Courier New" w:eastAsia="宋体"/>
      <w:sz w:val="21"/>
    </w:rPr>
  </w:style>
  <w:style w:type="paragraph" w:styleId="24">
    <w:name w:val="toc 8"/>
    <w:basedOn w:val="1"/>
    <w:next w:val="1"/>
    <w:qFormat/>
    <w:uiPriority w:val="39"/>
    <w:pPr>
      <w:ind w:left="2940" w:leftChars="1400"/>
    </w:pPr>
    <w:rPr>
      <w:rFonts w:ascii="Calibri" w:hAnsi="Calibri" w:eastAsia="宋体"/>
      <w:sz w:val="21"/>
      <w:szCs w:val="22"/>
    </w:rPr>
  </w:style>
  <w:style w:type="paragraph" w:styleId="25">
    <w:name w:val="Date"/>
    <w:basedOn w:val="1"/>
    <w:next w:val="1"/>
    <w:link w:val="72"/>
    <w:qFormat/>
    <w:uiPriority w:val="0"/>
    <w:pPr>
      <w:autoSpaceDE w:val="0"/>
      <w:autoSpaceDN w:val="0"/>
      <w:adjustRightInd w:val="0"/>
      <w:textAlignment w:val="baseline"/>
    </w:pPr>
    <w:rPr>
      <w:rFonts w:ascii="宋体" w:eastAsia="宋体"/>
      <w:kern w:val="0"/>
      <w:sz w:val="28"/>
    </w:rPr>
  </w:style>
  <w:style w:type="paragraph" w:styleId="26">
    <w:name w:val="Body Text Indent 2"/>
    <w:basedOn w:val="1"/>
    <w:link w:val="80"/>
    <w:qFormat/>
    <w:uiPriority w:val="0"/>
    <w:pPr>
      <w:spacing w:after="120" w:line="480" w:lineRule="auto"/>
      <w:ind w:left="420" w:leftChars="200"/>
    </w:pPr>
  </w:style>
  <w:style w:type="paragraph" w:styleId="27">
    <w:name w:val="Balloon Text"/>
    <w:basedOn w:val="1"/>
    <w:link w:val="67"/>
    <w:qFormat/>
    <w:uiPriority w:val="0"/>
    <w:rPr>
      <w:kern w:val="0"/>
      <w:sz w:val="18"/>
      <w:szCs w:val="18"/>
    </w:rPr>
  </w:style>
  <w:style w:type="paragraph" w:styleId="28">
    <w:name w:val="footer"/>
    <w:basedOn w:val="1"/>
    <w:link w:val="66"/>
    <w:qFormat/>
    <w:uiPriority w:val="99"/>
    <w:pPr>
      <w:tabs>
        <w:tab w:val="center" w:pos="4153"/>
        <w:tab w:val="right" w:pos="8306"/>
      </w:tabs>
      <w:autoSpaceDE w:val="0"/>
      <w:autoSpaceDN w:val="0"/>
      <w:adjustRightInd w:val="0"/>
      <w:snapToGrid w:val="0"/>
      <w:jc w:val="left"/>
      <w:textAlignment w:val="baseline"/>
    </w:pPr>
    <w:rPr>
      <w:rFonts w:ascii="宋体" w:eastAsia="宋体"/>
      <w:kern w:val="0"/>
      <w:sz w:val="18"/>
    </w:rPr>
  </w:style>
  <w:style w:type="paragraph" w:styleId="29">
    <w:name w:val="header"/>
    <w:basedOn w:val="1"/>
    <w:link w:val="77"/>
    <w:qFormat/>
    <w:uiPriority w:val="0"/>
    <w:pPr>
      <w:pBdr>
        <w:bottom w:val="single" w:color="auto" w:sz="6" w:space="1"/>
      </w:pBdr>
      <w:tabs>
        <w:tab w:val="center" w:pos="4153"/>
        <w:tab w:val="right" w:pos="8306"/>
      </w:tabs>
      <w:autoSpaceDE w:val="0"/>
      <w:autoSpaceDN w:val="0"/>
      <w:adjustRightInd w:val="0"/>
      <w:snapToGrid w:val="0"/>
      <w:jc w:val="center"/>
      <w:textAlignment w:val="baseline"/>
    </w:pPr>
    <w:rPr>
      <w:rFonts w:ascii="宋体" w:eastAsia="宋体"/>
      <w:kern w:val="0"/>
      <w:sz w:val="18"/>
    </w:rPr>
  </w:style>
  <w:style w:type="paragraph" w:styleId="30">
    <w:name w:val="toc 1"/>
    <w:basedOn w:val="1"/>
    <w:next w:val="1"/>
    <w:qFormat/>
    <w:uiPriority w:val="39"/>
    <w:pPr>
      <w:tabs>
        <w:tab w:val="right" w:leader="dot" w:pos="8505"/>
      </w:tabs>
      <w:snapToGrid w:val="0"/>
      <w:jc w:val="left"/>
    </w:pPr>
    <w:rPr>
      <w:rFonts w:ascii="仿宋_GB2312" w:hAnsi="宋体" w:eastAsia="宋体"/>
      <w:bCs/>
      <w:sz w:val="28"/>
      <w:szCs w:val="30"/>
    </w:rPr>
  </w:style>
  <w:style w:type="paragraph" w:styleId="31">
    <w:name w:val="toc 4"/>
    <w:basedOn w:val="1"/>
    <w:next w:val="1"/>
    <w:qFormat/>
    <w:uiPriority w:val="39"/>
    <w:pPr>
      <w:tabs>
        <w:tab w:val="left" w:pos="1890"/>
        <w:tab w:val="right" w:leader="dot" w:pos="8296"/>
      </w:tabs>
      <w:ind w:left="630" w:leftChars="300"/>
    </w:pPr>
    <w:rPr>
      <w:rFonts w:ascii="Calibri" w:hAnsi="Calibri" w:eastAsia="宋体"/>
      <w:sz w:val="21"/>
      <w:szCs w:val="22"/>
    </w:rPr>
  </w:style>
  <w:style w:type="paragraph" w:styleId="32">
    <w:name w:val="Subtitle"/>
    <w:basedOn w:val="1"/>
    <w:next w:val="1"/>
    <w:link w:val="155"/>
    <w:qFormat/>
    <w:uiPriority w:val="0"/>
    <w:pPr>
      <w:spacing w:before="240" w:after="60" w:line="312" w:lineRule="auto"/>
      <w:jc w:val="center"/>
      <w:outlineLvl w:val="1"/>
    </w:pPr>
    <w:rPr>
      <w:rFonts w:ascii="Cambria" w:hAnsi="Cambria" w:eastAsia="宋体"/>
      <w:b/>
      <w:bCs/>
      <w:kern w:val="28"/>
      <w:sz w:val="32"/>
      <w:szCs w:val="32"/>
    </w:rPr>
  </w:style>
  <w:style w:type="paragraph" w:styleId="33">
    <w:name w:val="footnote text"/>
    <w:basedOn w:val="1"/>
    <w:link w:val="75"/>
    <w:qFormat/>
    <w:uiPriority w:val="0"/>
    <w:pPr>
      <w:snapToGrid w:val="0"/>
      <w:jc w:val="left"/>
    </w:pPr>
    <w:rPr>
      <w:sz w:val="18"/>
      <w:szCs w:val="18"/>
    </w:rPr>
  </w:style>
  <w:style w:type="paragraph" w:styleId="34">
    <w:name w:val="toc 6"/>
    <w:basedOn w:val="1"/>
    <w:next w:val="1"/>
    <w:qFormat/>
    <w:uiPriority w:val="39"/>
    <w:pPr>
      <w:ind w:left="2100" w:leftChars="1000"/>
    </w:pPr>
    <w:rPr>
      <w:rFonts w:ascii="Calibri" w:hAnsi="Calibri" w:eastAsia="宋体"/>
      <w:sz w:val="21"/>
      <w:szCs w:val="22"/>
    </w:rPr>
  </w:style>
  <w:style w:type="paragraph" w:styleId="35">
    <w:name w:val="Body Text Indent 3"/>
    <w:basedOn w:val="1"/>
    <w:link w:val="62"/>
    <w:qFormat/>
    <w:uiPriority w:val="0"/>
    <w:pPr>
      <w:spacing w:after="120"/>
      <w:ind w:left="420" w:leftChars="200"/>
    </w:pPr>
    <w:rPr>
      <w:sz w:val="16"/>
      <w:szCs w:val="16"/>
    </w:rPr>
  </w:style>
  <w:style w:type="paragraph" w:styleId="36">
    <w:name w:val="toc 2"/>
    <w:basedOn w:val="1"/>
    <w:next w:val="1"/>
    <w:qFormat/>
    <w:uiPriority w:val="39"/>
    <w:pPr>
      <w:tabs>
        <w:tab w:val="right" w:leader="dot" w:pos="8505"/>
      </w:tabs>
      <w:adjustRightInd w:val="0"/>
      <w:snapToGrid w:val="0"/>
      <w:ind w:left="150" w:leftChars="150" w:right="150" w:rightChars="150"/>
      <w:jc w:val="left"/>
    </w:pPr>
    <w:rPr>
      <w:rFonts w:ascii="仿宋_GB2312" w:hAnsi="宋体" w:eastAsia="宋体"/>
      <w:sz w:val="28"/>
      <w:szCs w:val="32"/>
    </w:rPr>
  </w:style>
  <w:style w:type="paragraph" w:styleId="37">
    <w:name w:val="toc 9"/>
    <w:basedOn w:val="1"/>
    <w:next w:val="1"/>
    <w:qFormat/>
    <w:uiPriority w:val="39"/>
    <w:pPr>
      <w:ind w:left="3360" w:leftChars="1600"/>
    </w:pPr>
  </w:style>
  <w:style w:type="paragraph" w:styleId="38">
    <w:name w:val="Body Text 2"/>
    <w:basedOn w:val="1"/>
    <w:link w:val="85"/>
    <w:qFormat/>
    <w:uiPriority w:val="0"/>
    <w:pPr>
      <w:spacing w:after="120" w:line="480" w:lineRule="auto"/>
    </w:pPr>
    <w:rPr>
      <w:rFonts w:eastAsia="宋体"/>
      <w:sz w:val="21"/>
      <w:szCs w:val="24"/>
    </w:rPr>
  </w:style>
  <w:style w:type="paragraph" w:styleId="39">
    <w:name w:val="Normal (Web)"/>
    <w:basedOn w:val="1"/>
    <w:qFormat/>
    <w:uiPriority w:val="0"/>
    <w:pPr>
      <w:widowControl/>
      <w:jc w:val="left"/>
    </w:pPr>
    <w:rPr>
      <w:rFonts w:ascii="宋体" w:hAnsi="宋体" w:eastAsia="宋体" w:cs="宋体"/>
      <w:kern w:val="0"/>
      <w:sz w:val="24"/>
      <w:szCs w:val="24"/>
    </w:rPr>
  </w:style>
  <w:style w:type="paragraph" w:styleId="40">
    <w:name w:val="Title"/>
    <w:basedOn w:val="1"/>
    <w:next w:val="1"/>
    <w:link w:val="83"/>
    <w:qFormat/>
    <w:uiPriority w:val="0"/>
    <w:pPr>
      <w:spacing w:before="240" w:after="60"/>
      <w:jc w:val="center"/>
      <w:outlineLvl w:val="0"/>
    </w:pPr>
    <w:rPr>
      <w:rFonts w:ascii="Calibri Light" w:hAnsi="Calibri Light" w:eastAsia="宋体"/>
      <w:b/>
      <w:bCs/>
      <w:sz w:val="32"/>
      <w:szCs w:val="32"/>
    </w:rPr>
  </w:style>
  <w:style w:type="paragraph" w:styleId="41">
    <w:name w:val="annotation subject"/>
    <w:basedOn w:val="15"/>
    <w:next w:val="15"/>
    <w:link w:val="84"/>
    <w:qFormat/>
    <w:uiPriority w:val="0"/>
    <w:rPr>
      <w:rFonts w:eastAsia="仿宋_GB2312"/>
      <w:b/>
      <w:bCs/>
      <w:sz w:val="30"/>
      <w:szCs w:val="20"/>
    </w:rPr>
  </w:style>
  <w:style w:type="table" w:styleId="43">
    <w:name w:val="Table Grid"/>
    <w:basedOn w:val="4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basedOn w:val="44"/>
    <w:qFormat/>
    <w:uiPriority w:val="0"/>
    <w:rPr>
      <w:b/>
      <w:bCs/>
    </w:rPr>
  </w:style>
  <w:style w:type="character" w:styleId="46">
    <w:name w:val="page number"/>
    <w:basedOn w:val="44"/>
    <w:qFormat/>
    <w:uiPriority w:val="0"/>
  </w:style>
  <w:style w:type="character" w:styleId="47">
    <w:name w:val="Emphasis"/>
    <w:qFormat/>
    <w:uiPriority w:val="0"/>
    <w:rPr>
      <w:i/>
      <w:iCs/>
    </w:rPr>
  </w:style>
  <w:style w:type="character" w:styleId="48">
    <w:name w:val="Hyperlink"/>
    <w:qFormat/>
    <w:uiPriority w:val="99"/>
    <w:rPr>
      <w:color w:val="0000FF"/>
      <w:u w:val="single"/>
    </w:rPr>
  </w:style>
  <w:style w:type="character" w:styleId="49">
    <w:name w:val="annotation reference"/>
    <w:qFormat/>
    <w:uiPriority w:val="0"/>
    <w:rPr>
      <w:sz w:val="21"/>
      <w:szCs w:val="21"/>
    </w:rPr>
  </w:style>
  <w:style w:type="character" w:styleId="50">
    <w:name w:val="footnote reference"/>
    <w:qFormat/>
    <w:uiPriority w:val="0"/>
    <w:rPr>
      <w:vertAlign w:val="superscript"/>
    </w:rPr>
  </w:style>
  <w:style w:type="character" w:customStyle="1" w:styleId="51">
    <w:name w:val="标题 1 Char1"/>
    <w:link w:val="2"/>
    <w:qFormat/>
    <w:uiPriority w:val="0"/>
    <w:rPr>
      <w:rFonts w:ascii="宋体" w:eastAsia="宋体"/>
      <w:b/>
      <w:kern w:val="44"/>
      <w:sz w:val="44"/>
      <w:lang w:val="en-US" w:eastAsia="zh-CN" w:bidi="ar-SA"/>
    </w:rPr>
  </w:style>
  <w:style w:type="character" w:customStyle="1" w:styleId="52">
    <w:name w:val="正文缩进 Char1"/>
    <w:link w:val="4"/>
    <w:qFormat/>
    <w:uiPriority w:val="0"/>
    <w:rPr>
      <w:rFonts w:ascii="宋体" w:eastAsia="宋体"/>
      <w:sz w:val="34"/>
      <w:lang w:val="en-US" w:eastAsia="zh-CN" w:bidi="ar-SA"/>
    </w:rPr>
  </w:style>
  <w:style w:type="character" w:customStyle="1" w:styleId="53">
    <w:name w:val="标题 2 Char1"/>
    <w:link w:val="3"/>
    <w:qFormat/>
    <w:uiPriority w:val="0"/>
    <w:rPr>
      <w:rFonts w:ascii="Arial" w:hAnsi="Arial" w:eastAsia="黑体"/>
      <w:b/>
      <w:sz w:val="32"/>
      <w:lang w:val="en-US" w:eastAsia="zh-CN" w:bidi="ar-SA"/>
    </w:rPr>
  </w:style>
  <w:style w:type="character" w:customStyle="1" w:styleId="54">
    <w:name w:val="标题 3 Char1"/>
    <w:link w:val="5"/>
    <w:qFormat/>
    <w:uiPriority w:val="0"/>
    <w:rPr>
      <w:rFonts w:ascii="宋体" w:eastAsia="宋体"/>
      <w:b/>
      <w:sz w:val="32"/>
      <w:lang w:val="en-US" w:eastAsia="zh-CN" w:bidi="ar-SA"/>
    </w:rPr>
  </w:style>
  <w:style w:type="character" w:customStyle="1" w:styleId="55">
    <w:name w:val="标题 4 Char"/>
    <w:link w:val="6"/>
    <w:qFormat/>
    <w:uiPriority w:val="0"/>
    <w:rPr>
      <w:rFonts w:ascii="等线 Light" w:hAnsi="等线 Light" w:eastAsia="等线 Light" w:cs="Times New Roman"/>
      <w:b/>
      <w:bCs/>
      <w:kern w:val="2"/>
      <w:sz w:val="28"/>
      <w:szCs w:val="28"/>
    </w:rPr>
  </w:style>
  <w:style w:type="character" w:customStyle="1" w:styleId="56">
    <w:name w:val="标题 5 Char"/>
    <w:basedOn w:val="44"/>
    <w:link w:val="7"/>
    <w:qFormat/>
    <w:uiPriority w:val="0"/>
    <w:rPr>
      <w:rFonts w:eastAsia="仿宋_GB2312"/>
      <w:b/>
      <w:bCs/>
      <w:kern w:val="2"/>
      <w:sz w:val="28"/>
      <w:szCs w:val="28"/>
    </w:rPr>
  </w:style>
  <w:style w:type="character" w:customStyle="1" w:styleId="57">
    <w:name w:val="标题 6 Char1"/>
    <w:link w:val="8"/>
    <w:qFormat/>
    <w:uiPriority w:val="0"/>
    <w:rPr>
      <w:rFonts w:ascii="Calibri Light" w:hAnsi="Calibri Light" w:eastAsia="宋体" w:cs="Times New Roman"/>
      <w:b/>
      <w:bCs/>
      <w:kern w:val="2"/>
      <w:sz w:val="24"/>
      <w:szCs w:val="24"/>
    </w:rPr>
  </w:style>
  <w:style w:type="character" w:customStyle="1" w:styleId="58">
    <w:name w:val="标题 7 Char1"/>
    <w:link w:val="9"/>
    <w:qFormat/>
    <w:uiPriority w:val="0"/>
    <w:rPr>
      <w:rFonts w:ascii="宋体"/>
      <w:b/>
      <w:color w:val="000000"/>
      <w:kern w:val="2"/>
      <w:sz w:val="24"/>
      <w:szCs w:val="24"/>
    </w:rPr>
  </w:style>
  <w:style w:type="character" w:customStyle="1" w:styleId="59">
    <w:name w:val="标题 8 Char1"/>
    <w:link w:val="10"/>
    <w:qFormat/>
    <w:uiPriority w:val="0"/>
    <w:rPr>
      <w:rFonts w:ascii="Arial" w:hAnsi="Arial" w:eastAsia="黑体"/>
      <w:color w:val="000000"/>
      <w:kern w:val="2"/>
      <w:sz w:val="24"/>
      <w:szCs w:val="24"/>
    </w:rPr>
  </w:style>
  <w:style w:type="character" w:customStyle="1" w:styleId="60">
    <w:name w:val="标题 9 Char1"/>
    <w:link w:val="11"/>
    <w:qFormat/>
    <w:uiPriority w:val="0"/>
    <w:rPr>
      <w:rFonts w:ascii="Arial" w:hAnsi="Arial" w:eastAsia="黑体"/>
      <w:color w:val="000000"/>
      <w:kern w:val="2"/>
      <w:sz w:val="24"/>
      <w:szCs w:val="24"/>
    </w:rPr>
  </w:style>
  <w:style w:type="character" w:customStyle="1" w:styleId="61">
    <w:name w:val="marklong"/>
    <w:basedOn w:val="44"/>
    <w:qFormat/>
    <w:uiPriority w:val="0"/>
  </w:style>
  <w:style w:type="character" w:customStyle="1" w:styleId="62">
    <w:name w:val="正文文本缩进 3 Char1"/>
    <w:link w:val="35"/>
    <w:qFormat/>
    <w:uiPriority w:val="99"/>
    <w:rPr>
      <w:rFonts w:eastAsia="仿宋_GB2312"/>
      <w:kern w:val="2"/>
      <w:sz w:val="16"/>
      <w:szCs w:val="16"/>
      <w:lang w:val="en-US" w:eastAsia="zh-CN" w:bidi="ar-SA"/>
    </w:rPr>
  </w:style>
  <w:style w:type="character" w:customStyle="1" w:styleId="63">
    <w:name w:val="正文文本缩进 Char1"/>
    <w:link w:val="18"/>
    <w:qFormat/>
    <w:uiPriority w:val="0"/>
    <w:rPr>
      <w:rFonts w:ascii="仿宋_GB2312" w:eastAsia="仿宋_GB2312"/>
      <w:sz w:val="28"/>
      <w:lang w:val="en-US" w:eastAsia="zh-CN" w:bidi="ar-SA"/>
    </w:rPr>
  </w:style>
  <w:style w:type="character" w:customStyle="1" w:styleId="64">
    <w:name w:val="ca-11"/>
    <w:qFormat/>
    <w:uiPriority w:val="0"/>
    <w:rPr>
      <w:rFonts w:hint="default" w:ascii="Times New Roman" w:hAnsi="Times New Roman" w:cs="Times New Roman"/>
      <w:b/>
      <w:bCs/>
      <w:spacing w:val="-20"/>
      <w:sz w:val="30"/>
      <w:szCs w:val="30"/>
    </w:rPr>
  </w:style>
  <w:style w:type="character" w:customStyle="1" w:styleId="65">
    <w:name w:val="正文文本 Char2"/>
    <w:link w:val="17"/>
    <w:qFormat/>
    <w:uiPriority w:val="0"/>
    <w:rPr>
      <w:rFonts w:ascii="仿宋_GB2312" w:eastAsia="仿宋_GB2312"/>
      <w:kern w:val="2"/>
      <w:sz w:val="28"/>
      <w:lang w:val="en-US" w:eastAsia="zh-CN" w:bidi="ar-SA"/>
    </w:rPr>
  </w:style>
  <w:style w:type="character" w:customStyle="1" w:styleId="66">
    <w:name w:val="页脚 Char1"/>
    <w:link w:val="28"/>
    <w:qFormat/>
    <w:uiPriority w:val="99"/>
    <w:rPr>
      <w:rFonts w:ascii="宋体" w:eastAsia="宋体"/>
      <w:sz w:val="18"/>
      <w:lang w:val="en-US" w:eastAsia="zh-CN" w:bidi="ar-SA"/>
    </w:rPr>
  </w:style>
  <w:style w:type="character" w:customStyle="1" w:styleId="67">
    <w:name w:val="批注框文本 Char2"/>
    <w:link w:val="27"/>
    <w:qFormat/>
    <w:uiPriority w:val="0"/>
    <w:rPr>
      <w:rFonts w:eastAsia="仿宋_GB2312"/>
      <w:sz w:val="18"/>
      <w:szCs w:val="18"/>
      <w:lang w:bidi="ar-SA"/>
    </w:rPr>
  </w:style>
  <w:style w:type="character" w:customStyle="1" w:styleId="68">
    <w:name w:val="无"/>
    <w:qFormat/>
    <w:uiPriority w:val="0"/>
  </w:style>
  <w:style w:type="character" w:customStyle="1" w:styleId="69">
    <w:name w:val="breadcrumbnavclass"/>
    <w:basedOn w:val="44"/>
    <w:qFormat/>
    <w:uiPriority w:val="0"/>
  </w:style>
  <w:style w:type="character" w:customStyle="1" w:styleId="70">
    <w:name w:val="0921 Char1"/>
    <w:qFormat/>
    <w:uiPriority w:val="0"/>
    <w:rPr>
      <w:rFonts w:ascii="宋体" w:hAnsi="Courier New" w:eastAsia="宋体"/>
      <w:kern w:val="2"/>
      <w:sz w:val="21"/>
      <w:lang w:val="en-US" w:eastAsia="zh-CN" w:bidi="ar-SA"/>
    </w:rPr>
  </w:style>
  <w:style w:type="character" w:customStyle="1" w:styleId="71">
    <w:name w:val="ca-21"/>
    <w:qFormat/>
    <w:uiPriority w:val="0"/>
    <w:rPr>
      <w:rFonts w:hint="eastAsia" w:ascii="仿宋_GB2312" w:eastAsia="仿宋_GB2312"/>
      <w:b/>
      <w:bCs/>
      <w:spacing w:val="-20"/>
      <w:sz w:val="30"/>
      <w:szCs w:val="30"/>
    </w:rPr>
  </w:style>
  <w:style w:type="character" w:customStyle="1" w:styleId="72">
    <w:name w:val="日期 Char2"/>
    <w:link w:val="25"/>
    <w:qFormat/>
    <w:uiPriority w:val="0"/>
    <w:rPr>
      <w:rFonts w:ascii="宋体" w:eastAsia="宋体"/>
      <w:sz w:val="28"/>
      <w:lang w:val="en-US" w:eastAsia="zh-CN" w:bidi="ar-SA"/>
    </w:rPr>
  </w:style>
  <w:style w:type="character" w:customStyle="1" w:styleId="73">
    <w:name w:val="ca-61"/>
    <w:qFormat/>
    <w:uiPriority w:val="0"/>
    <w:rPr>
      <w:rFonts w:hint="eastAsia" w:ascii="宋体" w:hAnsi="宋体" w:eastAsia="宋体"/>
      <w:color w:val="FF0000"/>
      <w:sz w:val="21"/>
      <w:szCs w:val="21"/>
    </w:rPr>
  </w:style>
  <w:style w:type="character" w:customStyle="1" w:styleId="74">
    <w:name w:val="文档结构图 Char2"/>
    <w:link w:val="14"/>
    <w:qFormat/>
    <w:uiPriority w:val="0"/>
    <w:rPr>
      <w:rFonts w:eastAsia="仿宋_GB2312"/>
      <w:sz w:val="30"/>
      <w:shd w:val="clear" w:color="auto" w:fill="000080"/>
      <w:lang w:bidi="ar-SA"/>
    </w:rPr>
  </w:style>
  <w:style w:type="character" w:customStyle="1" w:styleId="75">
    <w:name w:val="脚注文本 Char1"/>
    <w:link w:val="33"/>
    <w:qFormat/>
    <w:uiPriority w:val="99"/>
    <w:rPr>
      <w:rFonts w:eastAsia="仿宋_GB2312"/>
      <w:kern w:val="2"/>
      <w:sz w:val="18"/>
      <w:szCs w:val="18"/>
    </w:rPr>
  </w:style>
  <w:style w:type="character" w:customStyle="1" w:styleId="76">
    <w:name w:val="纯文本 Char1"/>
    <w:link w:val="23"/>
    <w:qFormat/>
    <w:uiPriority w:val="0"/>
    <w:rPr>
      <w:rFonts w:ascii="宋体" w:hAnsi="Courier New" w:eastAsia="宋体"/>
      <w:kern w:val="2"/>
      <w:sz w:val="21"/>
      <w:lang w:val="en-US" w:eastAsia="zh-CN" w:bidi="ar-SA"/>
    </w:rPr>
  </w:style>
  <w:style w:type="character" w:customStyle="1" w:styleId="77">
    <w:name w:val="页眉 Char1"/>
    <w:link w:val="29"/>
    <w:qFormat/>
    <w:uiPriority w:val="0"/>
    <w:rPr>
      <w:rFonts w:ascii="宋体" w:eastAsia="宋体"/>
      <w:sz w:val="18"/>
      <w:lang w:val="en-US" w:eastAsia="zh-CN" w:bidi="ar-SA"/>
    </w:rPr>
  </w:style>
  <w:style w:type="character" w:customStyle="1" w:styleId="78">
    <w:name w:val="ca-31"/>
    <w:qFormat/>
    <w:uiPriority w:val="0"/>
    <w:rPr>
      <w:rFonts w:hint="eastAsia" w:ascii="宋体" w:hAnsi="宋体" w:eastAsia="宋体"/>
      <w:sz w:val="21"/>
      <w:szCs w:val="21"/>
    </w:rPr>
  </w:style>
  <w:style w:type="character" w:customStyle="1" w:styleId="79">
    <w:name w:val="ca-51"/>
    <w:qFormat/>
    <w:uiPriority w:val="0"/>
    <w:rPr>
      <w:rFonts w:hint="eastAsia" w:ascii="宋体" w:hAnsi="宋体" w:eastAsia="宋体"/>
      <w:b/>
      <w:bCs/>
      <w:color w:val="FF0000"/>
      <w:spacing w:val="-20"/>
      <w:sz w:val="21"/>
      <w:szCs w:val="21"/>
    </w:rPr>
  </w:style>
  <w:style w:type="character" w:customStyle="1" w:styleId="80">
    <w:name w:val="正文文本缩进 2 Char1"/>
    <w:link w:val="26"/>
    <w:qFormat/>
    <w:uiPriority w:val="99"/>
    <w:rPr>
      <w:rFonts w:eastAsia="仿宋_GB2312"/>
      <w:kern w:val="2"/>
      <w:sz w:val="30"/>
    </w:rPr>
  </w:style>
  <w:style w:type="character" w:customStyle="1" w:styleId="81">
    <w:name w:val="批注文字 Char1"/>
    <w:link w:val="15"/>
    <w:qFormat/>
    <w:uiPriority w:val="0"/>
    <w:rPr>
      <w:kern w:val="2"/>
      <w:sz w:val="21"/>
      <w:szCs w:val="24"/>
    </w:rPr>
  </w:style>
  <w:style w:type="character" w:customStyle="1" w:styleId="82">
    <w:name w:val="ca-41"/>
    <w:qFormat/>
    <w:uiPriority w:val="0"/>
    <w:rPr>
      <w:rFonts w:hint="eastAsia" w:ascii="宋体" w:hAnsi="宋体" w:eastAsia="宋体"/>
      <w:b/>
      <w:bCs/>
      <w:spacing w:val="-20"/>
      <w:sz w:val="21"/>
      <w:szCs w:val="21"/>
    </w:rPr>
  </w:style>
  <w:style w:type="character" w:customStyle="1" w:styleId="83">
    <w:name w:val="标题 Char2"/>
    <w:link w:val="40"/>
    <w:qFormat/>
    <w:uiPriority w:val="0"/>
    <w:rPr>
      <w:rFonts w:ascii="Calibri Light" w:hAnsi="Calibri Light" w:cs="Times New Roman"/>
      <w:b/>
      <w:bCs/>
      <w:kern w:val="2"/>
      <w:sz w:val="32"/>
      <w:szCs w:val="32"/>
    </w:rPr>
  </w:style>
  <w:style w:type="character" w:customStyle="1" w:styleId="84">
    <w:name w:val="批注主题 Char2"/>
    <w:link w:val="41"/>
    <w:qFormat/>
    <w:uiPriority w:val="0"/>
    <w:rPr>
      <w:rFonts w:eastAsia="仿宋_GB2312"/>
      <w:b/>
      <w:bCs/>
      <w:kern w:val="2"/>
      <w:sz w:val="30"/>
    </w:rPr>
  </w:style>
  <w:style w:type="character" w:customStyle="1" w:styleId="85">
    <w:name w:val="正文文本 2 Char1"/>
    <w:link w:val="38"/>
    <w:qFormat/>
    <w:uiPriority w:val="99"/>
    <w:rPr>
      <w:rFonts w:eastAsia="宋体"/>
      <w:kern w:val="2"/>
      <w:sz w:val="21"/>
      <w:szCs w:val="24"/>
      <w:lang w:val="en-US" w:eastAsia="zh-CN" w:bidi="ar-SA"/>
    </w:rPr>
  </w:style>
  <w:style w:type="character" w:customStyle="1" w:styleId="86">
    <w:name w:val="正文文本 3 Char1"/>
    <w:link w:val="16"/>
    <w:qFormat/>
    <w:uiPriority w:val="99"/>
    <w:rPr>
      <w:rFonts w:eastAsia="宋体"/>
      <w:kern w:val="2"/>
      <w:sz w:val="16"/>
      <w:szCs w:val="16"/>
      <w:lang w:val="en-US" w:eastAsia="zh-CN" w:bidi="ar-SA"/>
    </w:rPr>
  </w:style>
  <w:style w:type="paragraph" w:customStyle="1" w:styleId="87">
    <w:name w:val="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88">
    <w:name w:val="pa-2"/>
    <w:basedOn w:val="1"/>
    <w:qFormat/>
    <w:uiPriority w:val="0"/>
    <w:pPr>
      <w:widowControl/>
      <w:spacing w:line="280" w:lineRule="atLeast"/>
      <w:ind w:firstLine="420"/>
    </w:pPr>
    <w:rPr>
      <w:rFonts w:ascii="宋体" w:hAnsi="宋体" w:eastAsia="宋体" w:cs="宋体"/>
      <w:kern w:val="0"/>
      <w:sz w:val="24"/>
      <w:szCs w:val="24"/>
    </w:rPr>
  </w:style>
  <w:style w:type="paragraph" w:customStyle="1" w:styleId="89">
    <w:name w:val="pa-4"/>
    <w:basedOn w:val="1"/>
    <w:qFormat/>
    <w:uiPriority w:val="0"/>
    <w:pPr>
      <w:widowControl/>
      <w:spacing w:line="280" w:lineRule="atLeast"/>
      <w:jc w:val="center"/>
    </w:pPr>
    <w:rPr>
      <w:rFonts w:ascii="宋体" w:hAnsi="宋体" w:eastAsia="宋体" w:cs="宋体"/>
      <w:kern w:val="0"/>
      <w:sz w:val="24"/>
      <w:szCs w:val="24"/>
    </w:rPr>
  </w:style>
  <w:style w:type="paragraph" w:customStyle="1" w:styleId="90">
    <w:name w:val="项符&gt;"/>
    <w:basedOn w:val="1"/>
    <w:qFormat/>
    <w:uiPriority w:val="0"/>
    <w:pPr>
      <w:spacing w:line="360" w:lineRule="auto"/>
    </w:pPr>
    <w:rPr>
      <w:rFonts w:ascii="宋体" w:hAnsi="宋体" w:eastAsia="宋体"/>
      <w:sz w:val="24"/>
      <w:szCs w:val="30"/>
    </w:rPr>
  </w:style>
  <w:style w:type="paragraph" w:styleId="91">
    <w:name w:val="List Paragraph"/>
    <w:basedOn w:val="1"/>
    <w:qFormat/>
    <w:uiPriority w:val="34"/>
    <w:pPr>
      <w:ind w:firstLine="420" w:firstLineChars="200"/>
    </w:pPr>
    <w:rPr>
      <w:rFonts w:ascii="Calibri" w:hAnsi="Calibri" w:eastAsia="宋体"/>
      <w:sz w:val="21"/>
      <w:szCs w:val="22"/>
    </w:rPr>
  </w:style>
  <w:style w:type="paragraph" w:customStyle="1" w:styleId="92">
    <w:name w:val="pa-1"/>
    <w:basedOn w:val="1"/>
    <w:qFormat/>
    <w:uiPriority w:val="0"/>
    <w:pPr>
      <w:widowControl/>
      <w:spacing w:line="340" w:lineRule="atLeast"/>
    </w:pPr>
    <w:rPr>
      <w:rFonts w:ascii="宋体" w:hAnsi="宋体" w:eastAsia="宋体" w:cs="宋体"/>
      <w:kern w:val="0"/>
      <w:sz w:val="24"/>
      <w:szCs w:val="24"/>
    </w:rPr>
  </w:style>
  <w:style w:type="paragraph" w:customStyle="1" w:styleId="93">
    <w:name w:val="Table Paragraph"/>
    <w:basedOn w:val="1"/>
    <w:qFormat/>
    <w:uiPriority w:val="1"/>
    <w:pPr>
      <w:autoSpaceDE w:val="0"/>
      <w:autoSpaceDN w:val="0"/>
      <w:adjustRightInd w:val="0"/>
      <w:jc w:val="left"/>
    </w:pPr>
    <w:rPr>
      <w:rFonts w:ascii="Calibri" w:hAnsi="Calibri" w:eastAsia="宋体"/>
      <w:kern w:val="0"/>
      <w:sz w:val="24"/>
      <w:szCs w:val="24"/>
    </w:rPr>
  </w:style>
  <w:style w:type="paragraph" w:customStyle="1" w:styleId="94">
    <w:name w:val="题注4"/>
    <w:basedOn w:val="1"/>
    <w:next w:val="13"/>
    <w:qFormat/>
    <w:uiPriority w:val="0"/>
    <w:pPr>
      <w:spacing w:line="480" w:lineRule="exact"/>
      <w:ind w:firstLine="410" w:firstLineChars="171"/>
    </w:pPr>
    <w:rPr>
      <w:rFonts w:ascii="宋体" w:hAnsi="宋体" w:eastAsia="宋体"/>
      <w:sz w:val="24"/>
      <w:szCs w:val="24"/>
    </w:rPr>
  </w:style>
  <w:style w:type="paragraph" w:customStyle="1" w:styleId="95">
    <w:name w:val="pa-5"/>
    <w:basedOn w:val="1"/>
    <w:qFormat/>
    <w:uiPriority w:val="0"/>
    <w:pPr>
      <w:widowControl/>
      <w:spacing w:line="280" w:lineRule="atLeast"/>
    </w:pPr>
    <w:rPr>
      <w:rFonts w:ascii="宋体" w:hAnsi="宋体" w:eastAsia="宋体" w:cs="宋体"/>
      <w:kern w:val="0"/>
      <w:sz w:val="24"/>
      <w:szCs w:val="24"/>
    </w:rPr>
  </w:style>
  <w:style w:type="paragraph" w:customStyle="1" w:styleId="96">
    <w:name w:val="样式 正文缩进 + 首行缩进:  2 字符"/>
    <w:basedOn w:val="4"/>
    <w:qFormat/>
    <w:uiPriority w:val="0"/>
    <w:pPr>
      <w:autoSpaceDE/>
      <w:autoSpaceDN/>
      <w:adjustRightInd/>
      <w:spacing w:line="360" w:lineRule="auto"/>
      <w:ind w:firstLine="480" w:firstLineChars="200"/>
      <w:jc w:val="both"/>
      <w:textAlignment w:val="auto"/>
    </w:pPr>
    <w:rPr>
      <w:rFonts w:ascii="Times New Roman"/>
      <w:kern w:val="2"/>
      <w:sz w:val="24"/>
    </w:rPr>
  </w:style>
  <w:style w:type="paragraph" w:customStyle="1" w:styleId="97">
    <w:name w:val="修订1"/>
    <w:qFormat/>
    <w:uiPriority w:val="0"/>
    <w:rPr>
      <w:rFonts w:ascii="Times New Roman" w:hAnsi="Times New Roman" w:eastAsia="仿宋_GB2312" w:cs="Times New Roman"/>
      <w:kern w:val="2"/>
      <w:sz w:val="30"/>
      <w:lang w:val="en-US" w:eastAsia="zh-CN" w:bidi="ar-SA"/>
    </w:rPr>
  </w:style>
  <w:style w:type="paragraph" w:customStyle="1" w:styleId="98">
    <w:name w:val="Char Char1 Char Char Char Char Char Char Char Char Char Char"/>
    <w:basedOn w:val="1"/>
    <w:qFormat/>
    <w:uiPriority w:val="0"/>
    <w:rPr>
      <w:rFonts w:ascii="Tahoma" w:hAnsi="Tahoma"/>
      <w:sz w:val="24"/>
    </w:rPr>
  </w:style>
  <w:style w:type="paragraph" w:customStyle="1" w:styleId="99">
    <w:name w:val="列表段落1"/>
    <w:basedOn w:val="1"/>
    <w:qFormat/>
    <w:uiPriority w:val="99"/>
    <w:pPr>
      <w:widowControl/>
      <w:ind w:firstLine="420" w:firstLineChars="200"/>
      <w:jc w:val="left"/>
    </w:pPr>
    <w:rPr>
      <w:rFonts w:eastAsia="宋体"/>
      <w:kern w:val="0"/>
      <w:sz w:val="20"/>
    </w:rPr>
  </w:style>
  <w:style w:type="paragraph" w:customStyle="1" w:styleId="100">
    <w:name w:val="标题 21"/>
    <w:next w:val="1"/>
    <w:qFormat/>
    <w:uiPriority w:val="0"/>
    <w:pPr>
      <w:keepNext/>
      <w:keepLines/>
      <w:framePr w:wrap="around" w:vAnchor="margin" w:hAnchor="text" w:y="1"/>
      <w:widowControl w:val="0"/>
      <w:spacing w:before="260" w:after="260" w:line="413" w:lineRule="auto"/>
      <w:outlineLvl w:val="1"/>
    </w:pPr>
    <w:rPr>
      <w:rFonts w:ascii="Arial" w:hAnsi="Arial" w:eastAsia="Arial" w:cs="Arial"/>
      <w:b/>
      <w:bCs/>
      <w:color w:val="000000"/>
      <w:sz w:val="32"/>
      <w:szCs w:val="32"/>
      <w:lang w:val="en-US" w:eastAsia="zh-CN" w:bidi="ar-SA"/>
    </w:rPr>
  </w:style>
  <w:style w:type="paragraph" w:customStyle="1" w:styleId="101">
    <w:name w:val="标题2"/>
    <w:basedOn w:val="3"/>
    <w:qFormat/>
    <w:uiPriority w:val="0"/>
    <w:pPr>
      <w:tabs>
        <w:tab w:val="left" w:pos="567"/>
      </w:tabs>
      <w:autoSpaceDE/>
      <w:autoSpaceDN/>
      <w:adjustRightInd/>
      <w:spacing w:before="240" w:after="120" w:line="415" w:lineRule="auto"/>
      <w:jc w:val="both"/>
      <w:textAlignment w:val="auto"/>
      <w:outlineLvl w:val="2"/>
    </w:pPr>
    <w:rPr>
      <w:rFonts w:ascii="黑体" w:hAnsi="宋体"/>
      <w:bCs/>
      <w:spacing w:val="6"/>
      <w:kern w:val="28"/>
      <w:sz w:val="28"/>
      <w:szCs w:val="28"/>
    </w:rPr>
  </w:style>
  <w:style w:type="paragraph" w:customStyle="1" w:styleId="102">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3">
    <w:name w:val="正文 A"/>
    <w:qFormat/>
    <w:uiPriority w:val="0"/>
    <w:pPr>
      <w:framePr w:wrap="around" w:vAnchor="margin" w:hAnchor="text" w:y="1"/>
      <w:widowControl w:val="0"/>
      <w:jc w:val="both"/>
    </w:pPr>
    <w:rPr>
      <w:rFonts w:ascii="Times New Roman" w:hAnsi="Times New Roman" w:eastAsia="Calibri" w:cs="Calibri"/>
      <w:color w:val="000000"/>
      <w:kern w:val="2"/>
      <w:sz w:val="30"/>
      <w:szCs w:val="30"/>
      <w:lang w:val="en-US" w:eastAsia="zh-CN" w:bidi="ar-SA"/>
    </w:rPr>
  </w:style>
  <w:style w:type="paragraph" w:styleId="104">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5">
    <w:name w:val="Char"/>
    <w:basedOn w:val="1"/>
    <w:qFormat/>
    <w:uiPriority w:val="0"/>
    <w:rPr>
      <w:rFonts w:ascii="Tahoma" w:hAnsi="Tahoma" w:eastAsia="宋体"/>
      <w:sz w:val="24"/>
    </w:rPr>
  </w:style>
  <w:style w:type="paragraph" w:customStyle="1" w:styleId="106">
    <w:name w:val="图片"/>
    <w:basedOn w:val="1"/>
    <w:qFormat/>
    <w:uiPriority w:val="0"/>
    <w:pPr>
      <w:widowControl/>
      <w:jc w:val="center"/>
    </w:pPr>
    <w:rPr>
      <w:rFonts w:ascii="Arial" w:hAnsi="Arial" w:eastAsia="宋体"/>
      <w:kern w:val="0"/>
      <w:sz w:val="24"/>
    </w:rPr>
  </w:style>
  <w:style w:type="paragraph" w:customStyle="1" w:styleId="107">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table" w:customStyle="1" w:styleId="108">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09">
    <w:name w:val="Table Normal1"/>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0">
    <w:name w:val="Table Normal2"/>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1">
    <w:name w:val="Table Normal3"/>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2">
    <w:name w:val="Table Normal4"/>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3">
    <w:name w:val="Table Normal5"/>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4">
    <w:name w:val="Table Normal6"/>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5">
    <w:name w:val="Table Normal7"/>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6">
    <w:name w:val="Table Normal8"/>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7">
    <w:name w:val="Table Normal9"/>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8">
    <w:name w:val="Table Normal10"/>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9">
    <w:name w:val="Table Normal11"/>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120">
    <w:name w:val="纯文本 字符1"/>
    <w:basedOn w:val="44"/>
    <w:qFormat/>
    <w:uiPriority w:val="0"/>
    <w:rPr>
      <w:rFonts w:hAnsi="Courier New" w:cs="Courier New" w:asciiTheme="minorEastAsia" w:eastAsiaTheme="minorEastAsia"/>
      <w:kern w:val="2"/>
      <w:sz w:val="30"/>
    </w:rPr>
  </w:style>
  <w:style w:type="character" w:customStyle="1" w:styleId="121">
    <w:name w:val="页脚 字符1"/>
    <w:basedOn w:val="44"/>
    <w:semiHidden/>
    <w:qFormat/>
    <w:uiPriority w:val="99"/>
    <w:rPr>
      <w:rFonts w:eastAsia="仿宋_GB2312"/>
      <w:kern w:val="2"/>
      <w:sz w:val="18"/>
      <w:szCs w:val="18"/>
    </w:rPr>
  </w:style>
  <w:style w:type="character" w:customStyle="1" w:styleId="122">
    <w:name w:val="标题 字符1"/>
    <w:basedOn w:val="44"/>
    <w:qFormat/>
    <w:uiPriority w:val="10"/>
    <w:rPr>
      <w:rFonts w:asciiTheme="majorHAnsi" w:hAnsiTheme="majorHAnsi" w:eastAsiaTheme="majorEastAsia" w:cstheme="majorBidi"/>
      <w:b/>
      <w:bCs/>
      <w:kern w:val="2"/>
      <w:sz w:val="32"/>
      <w:szCs w:val="32"/>
    </w:rPr>
  </w:style>
  <w:style w:type="character" w:customStyle="1" w:styleId="123">
    <w:name w:val="正文文本缩进 2 字符1"/>
    <w:basedOn w:val="44"/>
    <w:qFormat/>
    <w:uiPriority w:val="0"/>
    <w:rPr>
      <w:rFonts w:eastAsia="仿宋_GB2312"/>
      <w:kern w:val="2"/>
      <w:sz w:val="30"/>
    </w:rPr>
  </w:style>
  <w:style w:type="character" w:customStyle="1" w:styleId="124">
    <w:name w:val="正文文本缩进 3 字符1"/>
    <w:basedOn w:val="44"/>
    <w:qFormat/>
    <w:uiPriority w:val="0"/>
    <w:rPr>
      <w:rFonts w:eastAsia="仿宋_GB2312"/>
      <w:kern w:val="2"/>
      <w:sz w:val="16"/>
      <w:szCs w:val="16"/>
    </w:rPr>
  </w:style>
  <w:style w:type="character" w:customStyle="1" w:styleId="125">
    <w:name w:val="批注文字 字符1"/>
    <w:basedOn w:val="44"/>
    <w:semiHidden/>
    <w:qFormat/>
    <w:uiPriority w:val="0"/>
    <w:rPr>
      <w:rFonts w:eastAsia="仿宋_GB2312"/>
      <w:kern w:val="2"/>
      <w:sz w:val="30"/>
    </w:rPr>
  </w:style>
  <w:style w:type="character" w:customStyle="1" w:styleId="126">
    <w:name w:val="正文文本 2 字符1"/>
    <w:basedOn w:val="44"/>
    <w:qFormat/>
    <w:uiPriority w:val="0"/>
    <w:rPr>
      <w:rFonts w:eastAsia="仿宋_GB2312"/>
      <w:kern w:val="2"/>
      <w:sz w:val="30"/>
    </w:rPr>
  </w:style>
  <w:style w:type="character" w:customStyle="1" w:styleId="127">
    <w:name w:val="正文文本缩进 字符1"/>
    <w:basedOn w:val="44"/>
    <w:qFormat/>
    <w:uiPriority w:val="0"/>
    <w:rPr>
      <w:rFonts w:eastAsia="仿宋_GB2312"/>
      <w:kern w:val="2"/>
      <w:sz w:val="30"/>
    </w:rPr>
  </w:style>
  <w:style w:type="character" w:customStyle="1" w:styleId="128">
    <w:name w:val="日期 字符1"/>
    <w:basedOn w:val="44"/>
    <w:semiHidden/>
    <w:qFormat/>
    <w:uiPriority w:val="99"/>
    <w:rPr>
      <w:rFonts w:eastAsia="仿宋_GB2312"/>
      <w:kern w:val="2"/>
      <w:sz w:val="30"/>
    </w:rPr>
  </w:style>
  <w:style w:type="character" w:customStyle="1" w:styleId="129">
    <w:name w:val="批注主题 字符1"/>
    <w:basedOn w:val="125"/>
    <w:semiHidden/>
    <w:qFormat/>
    <w:uiPriority w:val="99"/>
    <w:rPr>
      <w:rFonts w:eastAsia="仿宋_GB2312"/>
      <w:b/>
      <w:bCs/>
      <w:kern w:val="2"/>
      <w:sz w:val="30"/>
    </w:rPr>
  </w:style>
  <w:style w:type="character" w:customStyle="1" w:styleId="130">
    <w:name w:val="正文文本 3 字符1"/>
    <w:basedOn w:val="44"/>
    <w:qFormat/>
    <w:uiPriority w:val="0"/>
    <w:rPr>
      <w:rFonts w:eastAsia="仿宋_GB2312"/>
      <w:kern w:val="2"/>
      <w:sz w:val="16"/>
      <w:szCs w:val="16"/>
    </w:rPr>
  </w:style>
  <w:style w:type="character" w:customStyle="1" w:styleId="131">
    <w:name w:val="文档结构图 字符1"/>
    <w:basedOn w:val="44"/>
    <w:semiHidden/>
    <w:qFormat/>
    <w:uiPriority w:val="99"/>
    <w:rPr>
      <w:rFonts w:ascii="Microsoft YaHei UI" w:eastAsia="Microsoft YaHei UI"/>
      <w:kern w:val="2"/>
      <w:sz w:val="18"/>
      <w:szCs w:val="18"/>
    </w:rPr>
  </w:style>
  <w:style w:type="character" w:customStyle="1" w:styleId="132">
    <w:name w:val="脚注文本 字符1"/>
    <w:basedOn w:val="44"/>
    <w:qFormat/>
    <w:uiPriority w:val="0"/>
    <w:rPr>
      <w:rFonts w:eastAsia="仿宋_GB2312"/>
      <w:kern w:val="2"/>
      <w:sz w:val="18"/>
      <w:szCs w:val="18"/>
    </w:rPr>
  </w:style>
  <w:style w:type="character" w:customStyle="1" w:styleId="133">
    <w:name w:val="批注框文本 字符1"/>
    <w:basedOn w:val="44"/>
    <w:semiHidden/>
    <w:qFormat/>
    <w:uiPriority w:val="99"/>
    <w:rPr>
      <w:rFonts w:eastAsia="仿宋_GB2312"/>
      <w:kern w:val="2"/>
      <w:sz w:val="18"/>
      <w:szCs w:val="18"/>
    </w:rPr>
  </w:style>
  <w:style w:type="character" w:customStyle="1" w:styleId="134">
    <w:name w:val="正文文本 字符1"/>
    <w:basedOn w:val="44"/>
    <w:semiHidden/>
    <w:qFormat/>
    <w:uiPriority w:val="99"/>
    <w:rPr>
      <w:rFonts w:eastAsia="仿宋_GB2312"/>
      <w:kern w:val="2"/>
      <w:sz w:val="30"/>
    </w:rPr>
  </w:style>
  <w:style w:type="character" w:customStyle="1" w:styleId="135">
    <w:name w:val="页眉 字符1"/>
    <w:basedOn w:val="44"/>
    <w:semiHidden/>
    <w:qFormat/>
    <w:uiPriority w:val="99"/>
    <w:rPr>
      <w:rFonts w:eastAsia="仿宋_GB2312"/>
      <w:kern w:val="2"/>
      <w:sz w:val="18"/>
      <w:szCs w:val="18"/>
    </w:rPr>
  </w:style>
  <w:style w:type="character" w:customStyle="1" w:styleId="136">
    <w:name w:val="正文文本 Char1"/>
    <w:qFormat/>
    <w:uiPriority w:val="0"/>
    <w:rPr>
      <w:kern w:val="2"/>
      <w:sz w:val="21"/>
      <w:szCs w:val="22"/>
    </w:rPr>
  </w:style>
  <w:style w:type="character" w:customStyle="1" w:styleId="137">
    <w:name w:val="明显引用 Char"/>
    <w:link w:val="138"/>
    <w:qFormat/>
    <w:uiPriority w:val="0"/>
    <w:rPr>
      <w:b/>
      <w:bCs/>
      <w:i/>
      <w:iCs/>
      <w:color w:val="4F81BD"/>
      <w:kern w:val="2"/>
      <w:sz w:val="21"/>
      <w:szCs w:val="22"/>
    </w:rPr>
  </w:style>
  <w:style w:type="paragraph" w:styleId="138">
    <w:name w:val="Intense Quote"/>
    <w:basedOn w:val="1"/>
    <w:next w:val="1"/>
    <w:link w:val="137"/>
    <w:qFormat/>
    <w:uiPriority w:val="0"/>
    <w:pPr>
      <w:pBdr>
        <w:bottom w:val="single" w:color="4F81BD" w:sz="4" w:space="4"/>
      </w:pBdr>
      <w:spacing w:before="200" w:after="280"/>
      <w:ind w:left="936" w:right="936"/>
    </w:pPr>
    <w:rPr>
      <w:rFonts w:eastAsia="宋体"/>
      <w:b/>
      <w:bCs/>
      <w:i/>
      <w:iCs/>
      <w:color w:val="4F81BD"/>
      <w:sz w:val="21"/>
      <w:szCs w:val="22"/>
    </w:rPr>
  </w:style>
  <w:style w:type="character" w:customStyle="1" w:styleId="139">
    <w:name w:val="不明显强调1"/>
    <w:qFormat/>
    <w:uiPriority w:val="0"/>
    <w:rPr>
      <w:i/>
      <w:iCs/>
      <w:color w:val="808080"/>
    </w:rPr>
  </w:style>
  <w:style w:type="character" w:customStyle="1" w:styleId="140">
    <w:name w:val="标题4 Char Char"/>
    <w:link w:val="141"/>
    <w:qFormat/>
    <w:uiPriority w:val="0"/>
    <w:rPr>
      <w:rFonts w:ascii="Arial" w:hAnsi="Arial"/>
      <w:b/>
      <w:bCs/>
      <w:sz w:val="24"/>
      <w:szCs w:val="32"/>
    </w:rPr>
  </w:style>
  <w:style w:type="paragraph" w:customStyle="1" w:styleId="141">
    <w:name w:val="标题4"/>
    <w:basedOn w:val="3"/>
    <w:next w:val="20"/>
    <w:link w:val="140"/>
    <w:qFormat/>
    <w:uiPriority w:val="0"/>
    <w:pPr>
      <w:autoSpaceDE/>
      <w:autoSpaceDN/>
      <w:adjustRightInd/>
      <w:spacing w:line="413" w:lineRule="auto"/>
      <w:jc w:val="both"/>
      <w:textAlignment w:val="auto"/>
    </w:pPr>
    <w:rPr>
      <w:rFonts w:eastAsia="宋体"/>
      <w:bCs/>
      <w:sz w:val="24"/>
      <w:szCs w:val="32"/>
    </w:rPr>
  </w:style>
  <w:style w:type="character" w:customStyle="1" w:styleId="142">
    <w:name w:val="标题5 Char Char"/>
    <w:link w:val="143"/>
    <w:qFormat/>
    <w:uiPriority w:val="0"/>
    <w:rPr>
      <w:rFonts w:ascii="Arial" w:hAnsi="Arial"/>
      <w:b/>
      <w:bCs/>
      <w:sz w:val="24"/>
      <w:szCs w:val="32"/>
    </w:rPr>
  </w:style>
  <w:style w:type="paragraph" w:customStyle="1" w:styleId="143">
    <w:name w:val="标题5"/>
    <w:basedOn w:val="5"/>
    <w:link w:val="142"/>
    <w:qFormat/>
    <w:uiPriority w:val="0"/>
    <w:pPr>
      <w:autoSpaceDE/>
      <w:autoSpaceDN/>
      <w:adjustRightInd/>
      <w:spacing w:line="413" w:lineRule="auto"/>
      <w:jc w:val="both"/>
      <w:textAlignment w:val="auto"/>
    </w:pPr>
    <w:rPr>
      <w:rFonts w:ascii="Arial" w:hAnsi="Arial"/>
      <w:bCs/>
      <w:sz w:val="24"/>
      <w:szCs w:val="32"/>
    </w:rPr>
  </w:style>
  <w:style w:type="character" w:customStyle="1" w:styleId="144">
    <w:name w:val="明显参考1"/>
    <w:qFormat/>
    <w:uiPriority w:val="0"/>
    <w:rPr>
      <w:b/>
      <w:bCs/>
      <w:smallCaps/>
      <w:color w:val="C0504D"/>
      <w:spacing w:val="5"/>
      <w:u w:val="single"/>
    </w:rPr>
  </w:style>
  <w:style w:type="character" w:customStyle="1" w:styleId="145">
    <w:name w:val="书籍标题1"/>
    <w:qFormat/>
    <w:uiPriority w:val="0"/>
    <w:rPr>
      <w:b/>
      <w:bCs/>
      <w:smallCaps/>
      <w:spacing w:val="5"/>
    </w:rPr>
  </w:style>
  <w:style w:type="character" w:customStyle="1" w:styleId="146">
    <w:name w:val="批注框文本 Char1"/>
    <w:qFormat/>
    <w:uiPriority w:val="0"/>
    <w:rPr>
      <w:kern w:val="2"/>
      <w:sz w:val="18"/>
      <w:szCs w:val="18"/>
    </w:rPr>
  </w:style>
  <w:style w:type="character" w:customStyle="1" w:styleId="147">
    <w:name w:val="引用 Char"/>
    <w:link w:val="148"/>
    <w:qFormat/>
    <w:uiPriority w:val="0"/>
    <w:rPr>
      <w:i/>
      <w:iCs/>
      <w:color w:val="000000"/>
      <w:kern w:val="2"/>
      <w:sz w:val="21"/>
      <w:szCs w:val="22"/>
    </w:rPr>
  </w:style>
  <w:style w:type="paragraph" w:styleId="148">
    <w:name w:val="Quote"/>
    <w:basedOn w:val="1"/>
    <w:next w:val="1"/>
    <w:link w:val="147"/>
    <w:qFormat/>
    <w:uiPriority w:val="0"/>
    <w:rPr>
      <w:rFonts w:eastAsia="宋体"/>
      <w:i/>
      <w:iCs/>
      <w:color w:val="000000"/>
      <w:sz w:val="21"/>
      <w:szCs w:val="22"/>
    </w:rPr>
  </w:style>
  <w:style w:type="character" w:customStyle="1" w:styleId="149">
    <w:name w:val="批注主题 Char1"/>
    <w:qFormat/>
    <w:uiPriority w:val="0"/>
    <w:rPr>
      <w:b/>
      <w:bCs/>
      <w:kern w:val="2"/>
      <w:sz w:val="21"/>
      <w:szCs w:val="22"/>
    </w:rPr>
  </w:style>
  <w:style w:type="character" w:customStyle="1" w:styleId="150">
    <w:name w:val="日期 Char1"/>
    <w:qFormat/>
    <w:uiPriority w:val="0"/>
    <w:rPr>
      <w:kern w:val="2"/>
      <w:sz w:val="21"/>
      <w:szCs w:val="22"/>
    </w:rPr>
  </w:style>
  <w:style w:type="character" w:customStyle="1" w:styleId="151">
    <w:name w:val="明显强调1"/>
    <w:qFormat/>
    <w:uiPriority w:val="0"/>
    <w:rPr>
      <w:b/>
      <w:bCs/>
      <w:i/>
      <w:iCs/>
      <w:color w:val="4F81BD"/>
    </w:rPr>
  </w:style>
  <w:style w:type="character" w:customStyle="1" w:styleId="152">
    <w:name w:val="textcontents"/>
    <w:qFormat/>
    <w:uiPriority w:val="0"/>
    <w:rPr>
      <w:rFonts w:cs="Times New Roman"/>
    </w:rPr>
  </w:style>
  <w:style w:type="character" w:customStyle="1" w:styleId="153">
    <w:name w:val="不明显参考1"/>
    <w:qFormat/>
    <w:uiPriority w:val="0"/>
    <w:rPr>
      <w:smallCaps/>
      <w:color w:val="C0504D"/>
      <w:u w:val="single"/>
    </w:rPr>
  </w:style>
  <w:style w:type="character" w:customStyle="1" w:styleId="154">
    <w:name w:val="批注文字 Char Char"/>
    <w:qFormat/>
    <w:uiPriority w:val="0"/>
    <w:rPr>
      <w:rFonts w:ascii="宋体" w:hAnsi="Times New Roman" w:eastAsia="宋体" w:cs="Times New Roman"/>
      <w:sz w:val="28"/>
      <w:szCs w:val="20"/>
    </w:rPr>
  </w:style>
  <w:style w:type="character" w:customStyle="1" w:styleId="155">
    <w:name w:val="副标题 Char"/>
    <w:link w:val="32"/>
    <w:qFormat/>
    <w:uiPriority w:val="0"/>
    <w:rPr>
      <w:rFonts w:ascii="Cambria" w:hAnsi="Cambria"/>
      <w:b/>
      <w:bCs/>
      <w:kern w:val="28"/>
      <w:sz w:val="32"/>
      <w:szCs w:val="32"/>
    </w:rPr>
  </w:style>
  <w:style w:type="character" w:customStyle="1" w:styleId="156">
    <w:name w:val="文档结构图 Char1"/>
    <w:qFormat/>
    <w:uiPriority w:val="0"/>
    <w:rPr>
      <w:rFonts w:ascii="宋体"/>
      <w:kern w:val="2"/>
      <w:sz w:val="18"/>
      <w:szCs w:val="18"/>
    </w:rPr>
  </w:style>
  <w:style w:type="paragraph" w:customStyle="1" w:styleId="157">
    <w:name w:val="样式 标题 2 + Times New Roman 四号 非加粗 段前: 5 磅 段后: 0 磅 行距: 固定值 20..."/>
    <w:basedOn w:val="3"/>
    <w:qFormat/>
    <w:uiPriority w:val="0"/>
    <w:pPr>
      <w:autoSpaceDE/>
      <w:autoSpaceDN/>
      <w:adjustRightInd/>
      <w:spacing w:before="100" w:after="0" w:line="400" w:lineRule="exact"/>
      <w:jc w:val="both"/>
      <w:textAlignment w:val="auto"/>
    </w:pPr>
    <w:rPr>
      <w:rFonts w:ascii="Times New Roman" w:hAnsi="Times New Roman" w:cs="宋体"/>
      <w:b w:val="0"/>
      <w:sz w:val="28"/>
    </w:rPr>
  </w:style>
  <w:style w:type="paragraph" w:customStyle="1" w:styleId="158">
    <w:name w:val="TOC 标题1"/>
    <w:basedOn w:val="2"/>
    <w:next w:val="1"/>
    <w:qFormat/>
    <w:uiPriority w:val="0"/>
    <w:pPr>
      <w:autoSpaceDE/>
      <w:autoSpaceDN/>
      <w:adjustRightInd/>
      <w:spacing w:line="576" w:lineRule="auto"/>
      <w:jc w:val="both"/>
      <w:textAlignment w:val="auto"/>
      <w:outlineLvl w:val="9"/>
    </w:pPr>
    <w:rPr>
      <w:rFonts w:ascii="Calibri" w:hAnsi="Calibri"/>
      <w:bCs/>
      <w:szCs w:val="44"/>
    </w:rPr>
  </w:style>
  <w:style w:type="character" w:customStyle="1" w:styleId="159">
    <w:name w:val="副标题 字符1"/>
    <w:basedOn w:val="44"/>
    <w:qFormat/>
    <w:uiPriority w:val="11"/>
    <w:rPr>
      <w:rFonts w:asciiTheme="minorHAnsi" w:hAnsiTheme="minorHAnsi" w:eastAsiaTheme="minorEastAsia" w:cstheme="minorBidi"/>
      <w:b/>
      <w:bCs/>
      <w:kern w:val="28"/>
      <w:sz w:val="32"/>
      <w:szCs w:val="32"/>
    </w:rPr>
  </w:style>
  <w:style w:type="character" w:customStyle="1" w:styleId="160">
    <w:name w:val="副标题 Char1"/>
    <w:basedOn w:val="44"/>
    <w:qFormat/>
    <w:uiPriority w:val="11"/>
    <w:rPr>
      <w:rFonts w:asciiTheme="majorHAnsi" w:hAnsiTheme="majorHAnsi" w:cstheme="majorBidi"/>
      <w:b/>
      <w:bCs/>
      <w:kern w:val="28"/>
      <w:sz w:val="32"/>
      <w:szCs w:val="32"/>
    </w:rPr>
  </w:style>
  <w:style w:type="character" w:customStyle="1" w:styleId="161">
    <w:name w:val="明显引用 字符1"/>
    <w:basedOn w:val="44"/>
    <w:qFormat/>
    <w:uiPriority w:val="30"/>
    <w:rPr>
      <w:rFonts w:eastAsia="仿宋_GB2312"/>
      <w:i/>
      <w:iCs/>
      <w:color w:val="5B9BD5" w:themeColor="accent1"/>
      <w:kern w:val="2"/>
      <w:sz w:val="30"/>
    </w:rPr>
  </w:style>
  <w:style w:type="character" w:customStyle="1" w:styleId="162">
    <w:name w:val="明显引用 Char1"/>
    <w:basedOn w:val="44"/>
    <w:qFormat/>
    <w:uiPriority w:val="30"/>
    <w:rPr>
      <w:rFonts w:eastAsia="仿宋_GB2312"/>
      <w:b/>
      <w:bCs/>
      <w:i/>
      <w:iCs/>
      <w:color w:val="5B9BD5" w:themeColor="accent1"/>
      <w:kern w:val="2"/>
      <w:sz w:val="30"/>
    </w:rPr>
  </w:style>
  <w:style w:type="paragraph" w:customStyle="1" w:styleId="163">
    <w:name w:val="样式 标题 3 + (中文) 黑体 小四 非加粗 段前: 7.8 磅 段后: 0 磅 行距: 固定值 20 磅"/>
    <w:basedOn w:val="5"/>
    <w:qFormat/>
    <w:uiPriority w:val="0"/>
    <w:pPr>
      <w:autoSpaceDE/>
      <w:autoSpaceDN/>
      <w:adjustRightInd/>
      <w:spacing w:before="0" w:after="0" w:line="400" w:lineRule="exact"/>
      <w:jc w:val="both"/>
      <w:textAlignment w:val="auto"/>
    </w:pPr>
    <w:rPr>
      <w:rFonts w:ascii="Times New Roman" w:eastAsia="黑体" w:cs="宋体"/>
      <w:b w:val="0"/>
      <w:kern w:val="2"/>
      <w:sz w:val="24"/>
    </w:rPr>
  </w:style>
  <w:style w:type="paragraph" w:customStyle="1" w:styleId="164">
    <w:name w:val="空半行"/>
    <w:basedOn w:val="1"/>
    <w:qFormat/>
    <w:uiPriority w:val="0"/>
    <w:pPr>
      <w:adjustRightInd w:val="0"/>
      <w:spacing w:line="120" w:lineRule="exact"/>
      <w:textAlignment w:val="baseline"/>
    </w:pPr>
    <w:rPr>
      <w:color w:val="FFFFFF"/>
      <w:kern w:val="0"/>
    </w:rPr>
  </w:style>
  <w:style w:type="character" w:customStyle="1" w:styleId="165">
    <w:name w:val="引用 字符1"/>
    <w:basedOn w:val="44"/>
    <w:qFormat/>
    <w:uiPriority w:val="29"/>
    <w:rPr>
      <w:rFonts w:eastAsia="仿宋_GB2312"/>
      <w:i/>
      <w:iCs/>
      <w:color w:val="3F3F3F" w:themeColor="text1" w:themeTint="BF"/>
      <w:kern w:val="2"/>
      <w:sz w:val="30"/>
    </w:rPr>
  </w:style>
  <w:style w:type="character" w:customStyle="1" w:styleId="166">
    <w:name w:val="引用 Char1"/>
    <w:basedOn w:val="44"/>
    <w:qFormat/>
    <w:uiPriority w:val="29"/>
    <w:rPr>
      <w:rFonts w:eastAsia="仿宋_GB2312"/>
      <w:i/>
      <w:iCs/>
      <w:color w:val="000000" w:themeColor="text1"/>
      <w:kern w:val="2"/>
      <w:sz w:val="30"/>
    </w:rPr>
  </w:style>
  <w:style w:type="paragraph" w:customStyle="1" w:styleId="167">
    <w:name w:val="flNote"/>
    <w:basedOn w:val="1"/>
    <w:qFormat/>
    <w:uiPriority w:val="0"/>
    <w:pPr>
      <w:adjustRightInd w:val="0"/>
      <w:spacing w:before="320" w:after="160" w:line="360" w:lineRule="atLeast"/>
      <w:jc w:val="center"/>
      <w:textAlignment w:val="baseline"/>
    </w:pPr>
    <w:rPr>
      <w:rFonts w:ascii="Arial" w:eastAsia="黑体"/>
      <w:kern w:val="0"/>
    </w:rPr>
  </w:style>
  <w:style w:type="character" w:customStyle="1" w:styleId="168">
    <w:name w:val="标题 Char1"/>
    <w:basedOn w:val="44"/>
    <w:qFormat/>
    <w:uiPriority w:val="10"/>
    <w:rPr>
      <w:rFonts w:asciiTheme="majorHAnsi" w:hAnsiTheme="majorHAnsi" w:cstheme="majorBidi"/>
      <w:b/>
      <w:bCs/>
      <w:kern w:val="2"/>
      <w:sz w:val="32"/>
      <w:szCs w:val="32"/>
    </w:rPr>
  </w:style>
  <w:style w:type="character" w:customStyle="1" w:styleId="169">
    <w:name w:val="未处理的提及1"/>
    <w:basedOn w:val="44"/>
    <w:semiHidden/>
    <w:unhideWhenUsed/>
    <w:qFormat/>
    <w:uiPriority w:val="99"/>
    <w:rPr>
      <w:color w:val="605E5C"/>
      <w:shd w:val="clear" w:color="auto" w:fill="E1DFDD"/>
    </w:rPr>
  </w:style>
  <w:style w:type="paragraph" w:customStyle="1" w:styleId="170">
    <w:name w:val="修订11"/>
    <w:qFormat/>
    <w:uiPriority w:val="0"/>
    <w:rPr>
      <w:rFonts w:ascii="Times New Roman" w:hAnsi="Times New Roman" w:eastAsia="仿宋_GB2312" w:cs="Times New Roman"/>
      <w:kern w:val="2"/>
      <w:sz w:val="30"/>
      <w:lang w:val="en-US" w:eastAsia="zh-CN" w:bidi="ar-SA"/>
    </w:rPr>
  </w:style>
  <w:style w:type="character" w:customStyle="1" w:styleId="171">
    <w:name w:val="不明显强调11"/>
    <w:qFormat/>
    <w:uiPriority w:val="0"/>
    <w:rPr>
      <w:i/>
      <w:iCs/>
      <w:color w:val="808080"/>
    </w:rPr>
  </w:style>
  <w:style w:type="character" w:customStyle="1" w:styleId="172">
    <w:name w:val="明显参考11"/>
    <w:qFormat/>
    <w:uiPriority w:val="0"/>
    <w:rPr>
      <w:b/>
      <w:bCs/>
      <w:smallCaps/>
      <w:color w:val="C0504D"/>
      <w:spacing w:val="5"/>
      <w:u w:val="single"/>
    </w:rPr>
  </w:style>
  <w:style w:type="character" w:customStyle="1" w:styleId="173">
    <w:name w:val="书籍标题11"/>
    <w:qFormat/>
    <w:uiPriority w:val="0"/>
    <w:rPr>
      <w:b/>
      <w:bCs/>
      <w:smallCaps/>
      <w:spacing w:val="5"/>
    </w:rPr>
  </w:style>
  <w:style w:type="character" w:customStyle="1" w:styleId="174">
    <w:name w:val="明显强调11"/>
    <w:qFormat/>
    <w:uiPriority w:val="0"/>
    <w:rPr>
      <w:b/>
      <w:bCs/>
      <w:i/>
      <w:iCs/>
      <w:color w:val="4F81BD"/>
    </w:rPr>
  </w:style>
  <w:style w:type="character" w:customStyle="1" w:styleId="175">
    <w:name w:val="不明显参考11"/>
    <w:qFormat/>
    <w:uiPriority w:val="0"/>
    <w:rPr>
      <w:smallCaps/>
      <w:color w:val="C0504D"/>
      <w:u w:val="single"/>
    </w:rPr>
  </w:style>
  <w:style w:type="paragraph" w:customStyle="1" w:styleId="176">
    <w:name w:val="TOC 标题11"/>
    <w:basedOn w:val="2"/>
    <w:next w:val="1"/>
    <w:qFormat/>
    <w:uiPriority w:val="0"/>
    <w:pPr>
      <w:autoSpaceDE/>
      <w:autoSpaceDN/>
      <w:adjustRightInd/>
      <w:spacing w:line="576" w:lineRule="auto"/>
      <w:jc w:val="both"/>
      <w:textAlignment w:val="auto"/>
      <w:outlineLvl w:val="9"/>
    </w:pPr>
    <w:rPr>
      <w:rFonts w:ascii="Calibri" w:hAnsi="Calibri"/>
      <w:bCs/>
      <w:szCs w:val="44"/>
    </w:rPr>
  </w:style>
  <w:style w:type="character" w:customStyle="1" w:styleId="177">
    <w:name w:val="标题 2 字符1"/>
    <w:qFormat/>
    <w:locked/>
    <w:uiPriority w:val="0"/>
    <w:rPr>
      <w:rFonts w:ascii="Arial" w:hAnsi="Arial" w:eastAsia="黑体" w:cs="Calibri"/>
      <w:b/>
      <w:sz w:val="32"/>
    </w:rPr>
  </w:style>
  <w:style w:type="character" w:customStyle="1" w:styleId="178">
    <w:name w:val="font01"/>
    <w:qFormat/>
    <w:uiPriority w:val="0"/>
    <w:rPr>
      <w:rFonts w:hint="eastAsia" w:ascii="宋体" w:hAnsi="宋体" w:eastAsia="宋体" w:cs="Times New Roman"/>
      <w:color w:val="000000"/>
      <w:sz w:val="22"/>
      <w:szCs w:val="22"/>
      <w:u w:val="none"/>
    </w:rPr>
  </w:style>
  <w:style w:type="character" w:customStyle="1" w:styleId="179">
    <w:name w:val="font51"/>
    <w:qFormat/>
    <w:uiPriority w:val="0"/>
    <w:rPr>
      <w:rFonts w:hint="eastAsia" w:ascii="宋体" w:hAnsi="宋体" w:eastAsia="宋体" w:cs="宋体"/>
      <w:color w:val="FF0000"/>
      <w:sz w:val="21"/>
      <w:szCs w:val="21"/>
      <w:u w:val="none"/>
    </w:rPr>
  </w:style>
  <w:style w:type="character" w:customStyle="1" w:styleId="180">
    <w:name w:val="正文文本缩进 3 Char"/>
    <w:qFormat/>
    <w:uiPriority w:val="0"/>
    <w:rPr>
      <w:rFonts w:eastAsia="仿宋_GB2312"/>
      <w:kern w:val="2"/>
      <w:sz w:val="16"/>
      <w:szCs w:val="16"/>
      <w:lang w:val="en-US" w:eastAsia="zh-CN" w:bidi="ar-SA"/>
    </w:rPr>
  </w:style>
  <w:style w:type="character" w:customStyle="1" w:styleId="181">
    <w:name w:val="正文文本缩进 Char"/>
    <w:qFormat/>
    <w:uiPriority w:val="0"/>
    <w:rPr>
      <w:rFonts w:ascii="仿宋_GB2312" w:eastAsia="仿宋_GB2312"/>
      <w:sz w:val="28"/>
      <w:lang w:val="en-US" w:eastAsia="zh-CN" w:bidi="ar-SA"/>
    </w:rPr>
  </w:style>
  <w:style w:type="character" w:customStyle="1" w:styleId="182">
    <w:name w:val="正文文本 Char"/>
    <w:qFormat/>
    <w:uiPriority w:val="0"/>
    <w:rPr>
      <w:rFonts w:ascii="仿宋_GB2312" w:eastAsia="仿宋_GB2312"/>
      <w:kern w:val="2"/>
      <w:sz w:val="28"/>
      <w:lang w:val="en-US" w:eastAsia="zh-CN" w:bidi="ar-SA"/>
    </w:rPr>
  </w:style>
  <w:style w:type="character" w:customStyle="1" w:styleId="183">
    <w:name w:val="页脚 Char"/>
    <w:qFormat/>
    <w:uiPriority w:val="99"/>
    <w:rPr>
      <w:rFonts w:ascii="宋体" w:eastAsia="宋体"/>
      <w:sz w:val="18"/>
      <w:lang w:val="en-US" w:eastAsia="zh-CN" w:bidi="ar-SA"/>
    </w:rPr>
  </w:style>
  <w:style w:type="character" w:customStyle="1" w:styleId="184">
    <w:name w:val="标题 8 Char"/>
    <w:qFormat/>
    <w:uiPriority w:val="0"/>
    <w:rPr>
      <w:rFonts w:ascii="Arial" w:hAnsi="Arial" w:eastAsia="黑体"/>
      <w:color w:val="000000"/>
      <w:kern w:val="2"/>
      <w:sz w:val="24"/>
      <w:szCs w:val="24"/>
    </w:rPr>
  </w:style>
  <w:style w:type="character" w:customStyle="1" w:styleId="185">
    <w:name w:val="批注框文本 Char"/>
    <w:semiHidden/>
    <w:qFormat/>
    <w:uiPriority w:val="0"/>
    <w:rPr>
      <w:rFonts w:eastAsia="仿宋_GB2312"/>
      <w:sz w:val="18"/>
      <w:szCs w:val="18"/>
      <w:lang w:bidi="ar-SA"/>
    </w:rPr>
  </w:style>
  <w:style w:type="character" w:customStyle="1" w:styleId="186">
    <w:name w:val="标题 7 Char"/>
    <w:qFormat/>
    <w:uiPriority w:val="0"/>
    <w:rPr>
      <w:rFonts w:ascii="宋体"/>
      <w:b/>
      <w:color w:val="000000"/>
      <w:kern w:val="2"/>
      <w:sz w:val="24"/>
      <w:szCs w:val="24"/>
    </w:rPr>
  </w:style>
  <w:style w:type="character" w:customStyle="1" w:styleId="187">
    <w:name w:val="标题 6 Char"/>
    <w:semiHidden/>
    <w:qFormat/>
    <w:uiPriority w:val="0"/>
    <w:rPr>
      <w:rFonts w:ascii="Calibri Light" w:hAnsi="Calibri Light" w:eastAsia="宋体" w:cs="Times New Roman"/>
      <w:b/>
      <w:bCs/>
      <w:kern w:val="2"/>
      <w:sz w:val="24"/>
      <w:szCs w:val="24"/>
    </w:rPr>
  </w:style>
  <w:style w:type="character" w:customStyle="1" w:styleId="188">
    <w:name w:val="标题 2 Char"/>
    <w:qFormat/>
    <w:uiPriority w:val="0"/>
    <w:rPr>
      <w:rFonts w:ascii="Arial" w:hAnsi="Arial" w:eastAsia="黑体"/>
      <w:b/>
      <w:sz w:val="32"/>
      <w:lang w:val="en-US" w:eastAsia="zh-CN" w:bidi="ar-SA"/>
    </w:rPr>
  </w:style>
  <w:style w:type="character" w:customStyle="1" w:styleId="189">
    <w:name w:val="标题 1 Char"/>
    <w:qFormat/>
    <w:uiPriority w:val="0"/>
    <w:rPr>
      <w:rFonts w:ascii="宋体" w:eastAsia="宋体"/>
      <w:b/>
      <w:kern w:val="44"/>
      <w:sz w:val="44"/>
      <w:lang w:val="en-US" w:eastAsia="zh-CN" w:bidi="ar-SA"/>
    </w:rPr>
  </w:style>
  <w:style w:type="character" w:customStyle="1" w:styleId="190">
    <w:name w:val="日期 Char"/>
    <w:qFormat/>
    <w:uiPriority w:val="0"/>
    <w:rPr>
      <w:rFonts w:ascii="宋体" w:eastAsia="宋体"/>
      <w:sz w:val="28"/>
      <w:lang w:val="en-US" w:eastAsia="zh-CN" w:bidi="ar-SA"/>
    </w:rPr>
  </w:style>
  <w:style w:type="character" w:customStyle="1" w:styleId="191">
    <w:name w:val="文档结构图 Char"/>
    <w:semiHidden/>
    <w:qFormat/>
    <w:uiPriority w:val="0"/>
    <w:rPr>
      <w:rFonts w:eastAsia="仿宋_GB2312"/>
      <w:sz w:val="30"/>
      <w:shd w:val="clear" w:color="auto" w:fill="000080"/>
      <w:lang w:bidi="ar-SA"/>
    </w:rPr>
  </w:style>
  <w:style w:type="character" w:customStyle="1" w:styleId="192">
    <w:name w:val="脚注文本 Char"/>
    <w:qFormat/>
    <w:uiPriority w:val="0"/>
    <w:rPr>
      <w:rFonts w:eastAsia="仿宋_GB2312"/>
      <w:kern w:val="2"/>
      <w:sz w:val="18"/>
      <w:szCs w:val="18"/>
    </w:rPr>
  </w:style>
  <w:style w:type="character" w:customStyle="1" w:styleId="193">
    <w:name w:val="纯文本 Char"/>
    <w:qFormat/>
    <w:uiPriority w:val="0"/>
    <w:rPr>
      <w:rFonts w:ascii="宋体" w:hAnsi="Courier New" w:eastAsia="宋体"/>
      <w:kern w:val="2"/>
      <w:sz w:val="21"/>
      <w:lang w:val="en-US" w:eastAsia="zh-CN" w:bidi="ar-SA"/>
    </w:rPr>
  </w:style>
  <w:style w:type="character" w:customStyle="1" w:styleId="194">
    <w:name w:val="标题 9 Char"/>
    <w:qFormat/>
    <w:uiPriority w:val="0"/>
    <w:rPr>
      <w:rFonts w:ascii="Arial" w:hAnsi="Arial" w:eastAsia="黑体"/>
      <w:color w:val="000000"/>
      <w:kern w:val="2"/>
      <w:sz w:val="24"/>
      <w:szCs w:val="24"/>
    </w:rPr>
  </w:style>
  <w:style w:type="character" w:customStyle="1" w:styleId="195">
    <w:name w:val="页眉 Char"/>
    <w:qFormat/>
    <w:uiPriority w:val="99"/>
    <w:rPr>
      <w:rFonts w:ascii="宋体" w:eastAsia="宋体"/>
      <w:sz w:val="18"/>
      <w:lang w:val="en-US" w:eastAsia="zh-CN" w:bidi="ar-SA"/>
    </w:rPr>
  </w:style>
  <w:style w:type="character" w:customStyle="1" w:styleId="196">
    <w:name w:val="正文文本缩进 2 Char"/>
    <w:qFormat/>
    <w:uiPriority w:val="0"/>
    <w:rPr>
      <w:rFonts w:eastAsia="仿宋_GB2312"/>
      <w:kern w:val="2"/>
      <w:sz w:val="30"/>
    </w:rPr>
  </w:style>
  <w:style w:type="character" w:customStyle="1" w:styleId="197">
    <w:name w:val="批注文字 Char"/>
    <w:qFormat/>
    <w:uiPriority w:val="0"/>
    <w:rPr>
      <w:kern w:val="2"/>
      <w:sz w:val="21"/>
      <w:szCs w:val="24"/>
    </w:rPr>
  </w:style>
  <w:style w:type="character" w:customStyle="1" w:styleId="198">
    <w:name w:val="标题 Char"/>
    <w:qFormat/>
    <w:uiPriority w:val="0"/>
    <w:rPr>
      <w:rFonts w:ascii="Calibri Light" w:hAnsi="Calibri Light" w:cs="Times New Roman"/>
      <w:b/>
      <w:bCs/>
      <w:kern w:val="2"/>
      <w:sz w:val="32"/>
      <w:szCs w:val="32"/>
    </w:rPr>
  </w:style>
  <w:style w:type="character" w:customStyle="1" w:styleId="199">
    <w:name w:val="正文缩进 Char"/>
    <w:qFormat/>
    <w:uiPriority w:val="0"/>
    <w:rPr>
      <w:rFonts w:ascii="宋体" w:eastAsia="宋体"/>
      <w:sz w:val="34"/>
      <w:lang w:val="en-US" w:eastAsia="zh-CN" w:bidi="ar-SA"/>
    </w:rPr>
  </w:style>
  <w:style w:type="character" w:customStyle="1" w:styleId="200">
    <w:name w:val="标题 3 Char"/>
    <w:qFormat/>
    <w:uiPriority w:val="9"/>
    <w:rPr>
      <w:rFonts w:ascii="宋体" w:eastAsia="宋体"/>
      <w:b/>
      <w:sz w:val="32"/>
      <w:lang w:val="en-US" w:eastAsia="zh-CN" w:bidi="ar-SA"/>
    </w:rPr>
  </w:style>
  <w:style w:type="character" w:customStyle="1" w:styleId="201">
    <w:name w:val="批注主题 Char"/>
    <w:semiHidden/>
    <w:qFormat/>
    <w:uiPriority w:val="0"/>
    <w:rPr>
      <w:rFonts w:eastAsia="仿宋_GB2312"/>
      <w:b/>
      <w:bCs/>
      <w:kern w:val="2"/>
      <w:sz w:val="30"/>
    </w:rPr>
  </w:style>
  <w:style w:type="character" w:customStyle="1" w:styleId="202">
    <w:name w:val="正文文本 2 Char"/>
    <w:qFormat/>
    <w:uiPriority w:val="0"/>
    <w:rPr>
      <w:rFonts w:eastAsia="宋体"/>
      <w:kern w:val="2"/>
      <w:sz w:val="21"/>
      <w:szCs w:val="24"/>
      <w:lang w:val="en-US" w:eastAsia="zh-CN" w:bidi="ar-SA"/>
    </w:rPr>
  </w:style>
  <w:style w:type="character" w:customStyle="1" w:styleId="203">
    <w:name w:val="正文文本 3 Char"/>
    <w:qFormat/>
    <w:uiPriority w:val="0"/>
    <w:rPr>
      <w:rFonts w:eastAsia="宋体"/>
      <w:kern w:val="2"/>
      <w:sz w:val="16"/>
      <w:szCs w:val="16"/>
      <w:lang w:val="en-US" w:eastAsia="zh-CN" w:bidi="ar-SA"/>
    </w:rPr>
  </w:style>
  <w:style w:type="paragraph" w:customStyle="1" w:styleId="204">
    <w:name w:val="标题（黑体三号）"/>
    <w:basedOn w:val="40"/>
    <w:link w:val="205"/>
    <w:qFormat/>
    <w:uiPriority w:val="0"/>
    <w:pPr>
      <w:spacing w:line="360" w:lineRule="auto"/>
      <w:ind w:firstLine="435"/>
    </w:pPr>
    <w:rPr>
      <w:rFonts w:ascii="黑体" w:hAnsi="Cambria" w:eastAsia="黑体"/>
    </w:rPr>
  </w:style>
  <w:style w:type="character" w:customStyle="1" w:styleId="205">
    <w:name w:val="标题（黑体三号） Char"/>
    <w:link w:val="204"/>
    <w:qFormat/>
    <w:locked/>
    <w:uiPriority w:val="0"/>
    <w:rPr>
      <w:rFonts w:ascii="黑体" w:hAnsi="Cambria" w:eastAsia="黑体"/>
      <w:b/>
      <w:bCs/>
      <w:kern w:val="2"/>
      <w:sz w:val="32"/>
      <w:szCs w:val="32"/>
    </w:rPr>
  </w:style>
  <w:style w:type="character" w:customStyle="1" w:styleId="206">
    <w:name w:val="正文文本 字符2"/>
    <w:qFormat/>
    <w:uiPriority w:val="0"/>
    <w:rPr>
      <w:rFonts w:ascii="仿宋_GB2312" w:eastAsia="仿宋_GB2312"/>
      <w:sz w:val="28"/>
    </w:rPr>
  </w:style>
  <w:style w:type="character" w:customStyle="1" w:styleId="207">
    <w:name w:val="标题 8 字符1"/>
    <w:qFormat/>
    <w:uiPriority w:val="0"/>
    <w:rPr>
      <w:rFonts w:ascii="Arial" w:hAnsi="Arial" w:eastAsia="黑体" w:cs="Times New Roman"/>
      <w:color w:val="000000"/>
      <w:sz w:val="24"/>
      <w:szCs w:val="24"/>
    </w:rPr>
  </w:style>
  <w:style w:type="character" w:customStyle="1" w:styleId="208">
    <w:name w:val="批注框文本 字符2"/>
    <w:qFormat/>
    <w:uiPriority w:val="0"/>
    <w:rPr>
      <w:rFonts w:eastAsia="仿宋_GB2312"/>
      <w:sz w:val="18"/>
      <w:szCs w:val="18"/>
    </w:rPr>
  </w:style>
  <w:style w:type="character" w:customStyle="1" w:styleId="209">
    <w:name w:val="标题 7 字符1"/>
    <w:qFormat/>
    <w:uiPriority w:val="0"/>
    <w:rPr>
      <w:rFonts w:ascii="宋体" w:hAnsi="Times New Roman" w:eastAsia="宋体" w:cs="Times New Roman"/>
      <w:b/>
      <w:color w:val="000000"/>
      <w:sz w:val="24"/>
      <w:szCs w:val="24"/>
    </w:rPr>
  </w:style>
  <w:style w:type="character" w:customStyle="1" w:styleId="210">
    <w:name w:val="标题 6 字符1"/>
    <w:qFormat/>
    <w:uiPriority w:val="0"/>
    <w:rPr>
      <w:rFonts w:ascii="Calibri Light" w:hAnsi="Calibri Light" w:eastAsia="宋体" w:cs="Times New Roman"/>
      <w:b/>
      <w:bCs/>
      <w:sz w:val="24"/>
      <w:szCs w:val="24"/>
    </w:rPr>
  </w:style>
  <w:style w:type="character" w:customStyle="1" w:styleId="211">
    <w:name w:val="标题 1 字符1"/>
    <w:qFormat/>
    <w:uiPriority w:val="0"/>
    <w:rPr>
      <w:rFonts w:ascii="宋体" w:hAnsi="Times New Roman" w:eastAsia="宋体" w:cs="Times New Roman"/>
      <w:b/>
      <w:kern w:val="44"/>
      <w:sz w:val="44"/>
      <w:szCs w:val="20"/>
    </w:rPr>
  </w:style>
  <w:style w:type="character" w:customStyle="1" w:styleId="212">
    <w:name w:val="日期 字符2"/>
    <w:qFormat/>
    <w:uiPriority w:val="0"/>
    <w:rPr>
      <w:rFonts w:ascii="宋体" w:eastAsia="宋体"/>
      <w:sz w:val="28"/>
    </w:rPr>
  </w:style>
  <w:style w:type="character" w:customStyle="1" w:styleId="213">
    <w:name w:val="文档结构图 字符2"/>
    <w:qFormat/>
    <w:uiPriority w:val="0"/>
    <w:rPr>
      <w:rFonts w:eastAsia="仿宋_GB2312"/>
      <w:sz w:val="30"/>
      <w:shd w:val="clear" w:color="auto" w:fill="000080"/>
    </w:rPr>
  </w:style>
  <w:style w:type="character" w:customStyle="1" w:styleId="214">
    <w:name w:val="标题 9 字符1"/>
    <w:qFormat/>
    <w:uiPriority w:val="0"/>
    <w:rPr>
      <w:rFonts w:ascii="Arial" w:hAnsi="Arial" w:eastAsia="黑体" w:cs="Times New Roman"/>
      <w:color w:val="000000"/>
      <w:sz w:val="24"/>
      <w:szCs w:val="24"/>
    </w:rPr>
  </w:style>
  <w:style w:type="character" w:customStyle="1" w:styleId="215">
    <w:name w:val="批注文字 字符2"/>
    <w:qFormat/>
    <w:uiPriority w:val="0"/>
    <w:rPr>
      <w:szCs w:val="24"/>
    </w:rPr>
  </w:style>
  <w:style w:type="character" w:customStyle="1" w:styleId="216">
    <w:name w:val="标题 字符2"/>
    <w:qFormat/>
    <w:uiPriority w:val="0"/>
    <w:rPr>
      <w:rFonts w:ascii="Calibri Light" w:hAnsi="Calibri Light" w:cs="Times New Roman"/>
      <w:b/>
      <w:bCs/>
      <w:sz w:val="32"/>
      <w:szCs w:val="32"/>
    </w:rPr>
  </w:style>
  <w:style w:type="character" w:customStyle="1" w:styleId="217">
    <w:name w:val="标题 3 字符1"/>
    <w:qFormat/>
    <w:uiPriority w:val="0"/>
    <w:rPr>
      <w:rFonts w:ascii="宋体" w:hAnsi="Times New Roman" w:eastAsia="宋体" w:cs="Times New Roman"/>
      <w:b/>
      <w:kern w:val="0"/>
      <w:sz w:val="32"/>
      <w:szCs w:val="20"/>
    </w:rPr>
  </w:style>
  <w:style w:type="character" w:customStyle="1" w:styleId="218">
    <w:name w:val="批注主题 字符2"/>
    <w:qFormat/>
    <w:uiPriority w:val="0"/>
    <w:rPr>
      <w:rFonts w:eastAsia="仿宋_GB2312"/>
      <w:b/>
      <w:bCs/>
      <w:sz w:val="30"/>
    </w:rPr>
  </w:style>
  <w:style w:type="paragraph" w:customStyle="1" w:styleId="219">
    <w:name w:val="修订2"/>
    <w:qFormat/>
    <w:uiPriority w:val="0"/>
    <w:rPr>
      <w:rFonts w:ascii="Times New Roman" w:hAnsi="Times New Roman" w:eastAsia="仿宋_GB2312" w:cs="Times New Roman"/>
      <w:kern w:val="2"/>
      <w:sz w:val="30"/>
      <w:lang w:val="en-US" w:eastAsia="zh-CN" w:bidi="ar-SA"/>
    </w:rPr>
  </w:style>
  <w:style w:type="character" w:customStyle="1" w:styleId="220">
    <w:name w:val="不明显强调2"/>
    <w:qFormat/>
    <w:uiPriority w:val="0"/>
    <w:rPr>
      <w:i/>
      <w:iCs/>
      <w:color w:val="808080"/>
    </w:rPr>
  </w:style>
  <w:style w:type="character" w:customStyle="1" w:styleId="221">
    <w:name w:val="明显参考2"/>
    <w:qFormat/>
    <w:uiPriority w:val="0"/>
    <w:rPr>
      <w:b/>
      <w:bCs/>
      <w:smallCaps/>
      <w:color w:val="C0504D"/>
      <w:spacing w:val="5"/>
      <w:u w:val="single"/>
    </w:rPr>
  </w:style>
  <w:style w:type="character" w:customStyle="1" w:styleId="222">
    <w:name w:val="书籍标题2"/>
    <w:qFormat/>
    <w:uiPriority w:val="0"/>
    <w:rPr>
      <w:b/>
      <w:bCs/>
      <w:smallCaps/>
      <w:spacing w:val="5"/>
    </w:rPr>
  </w:style>
  <w:style w:type="character" w:customStyle="1" w:styleId="223">
    <w:name w:val="明显强调2"/>
    <w:qFormat/>
    <w:uiPriority w:val="0"/>
    <w:rPr>
      <w:b/>
      <w:bCs/>
      <w:i/>
      <w:iCs/>
      <w:color w:val="4F81BD"/>
    </w:rPr>
  </w:style>
  <w:style w:type="character" w:customStyle="1" w:styleId="224">
    <w:name w:val="不明显参考2"/>
    <w:qFormat/>
    <w:uiPriority w:val="0"/>
    <w:rPr>
      <w:smallCaps/>
      <w:color w:val="C0504D"/>
      <w:u w:val="single"/>
    </w:rPr>
  </w:style>
  <w:style w:type="paragraph" w:customStyle="1" w:styleId="225">
    <w:name w:val="TOC 标题2"/>
    <w:basedOn w:val="2"/>
    <w:next w:val="1"/>
    <w:qFormat/>
    <w:uiPriority w:val="0"/>
    <w:pPr>
      <w:autoSpaceDE/>
      <w:autoSpaceDN/>
      <w:adjustRightInd/>
      <w:spacing w:line="576" w:lineRule="auto"/>
      <w:jc w:val="both"/>
      <w:textAlignment w:val="auto"/>
      <w:outlineLvl w:val="9"/>
    </w:pPr>
    <w:rPr>
      <w:rFonts w:ascii="Calibri" w:hAnsi="Calibri"/>
      <w:bCs/>
      <w:szCs w:val="44"/>
    </w:rPr>
  </w:style>
  <w:style w:type="character" w:customStyle="1" w:styleId="226">
    <w:name w:val="font71"/>
    <w:basedOn w:val="44"/>
    <w:qFormat/>
    <w:uiPriority w:val="0"/>
    <w:rPr>
      <w:rFonts w:hint="eastAsia" w:ascii="宋体" w:hAnsi="宋体" w:eastAsia="宋体" w:cs="宋体"/>
      <w:color w:val="000000"/>
      <w:sz w:val="22"/>
      <w:szCs w:val="22"/>
      <w:u w:val="none"/>
    </w:rPr>
  </w:style>
  <w:style w:type="character" w:customStyle="1" w:styleId="227">
    <w:name w:val="font61"/>
    <w:basedOn w:val="44"/>
    <w:qFormat/>
    <w:uiPriority w:val="0"/>
    <w:rPr>
      <w:rFonts w:hint="eastAsia" w:ascii="宋体" w:hAnsi="宋体" w:eastAsia="宋体" w:cs="宋体"/>
      <w:color w:val="000000"/>
      <w:sz w:val="22"/>
      <w:szCs w:val="22"/>
      <w:u w:val="none"/>
    </w:rPr>
  </w:style>
  <w:style w:type="paragraph" w:customStyle="1" w:styleId="22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382E3-F158-42C7-AFCA-58DF3F353094}">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35</Pages>
  <Words>4240</Words>
  <Characters>4444</Characters>
  <Lines>111</Lines>
  <Paragraphs>31</Paragraphs>
  <TotalTime>17</TotalTime>
  <ScaleCrop>false</ScaleCrop>
  <LinksUpToDate>false</LinksUpToDate>
  <CharactersWithSpaces>4501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2024-12-14T03:44:00Z</dcterms:created>
  <dc:creator>admin</dc:creator>
  <cp:lastModifiedBy>Jim_Ray</cp:lastModifiedBy>
  <cp:lastPrinted>2024-12-16T02:23:00Z</cp:lastPrinted>
  <dcterms:modified xsi:type="dcterms:W3CDTF">2025-04-30T02:24:42Z</dcterms:modified>
  <dc:title>目    录</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18CFF871049243618F224F60D2D37BB4</vt:lpwstr>
  </property>
  <property fmtid="{D5CDD505-2E9C-101B-9397-08002B2CF9AE}" pid="4" name="KSOTemplateDocerSaveRecord">
    <vt:lpwstr>eyJoZGlkIjoiMDkxMDU0OTAxYTAzOTQ0MzUyMGVhYjgwNWJlOWNmOTYiLCJ1c2VySWQiOiI5OTM4NTIzODkifQ==</vt:lpwstr>
  </property>
</Properties>
</file>