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04" w:rsidRDefault="00F31025">
      <w:pPr>
        <w:snapToGrid w:val="0"/>
        <w:jc w:val="center"/>
        <w:rPr>
          <w:rFonts w:ascii="方正小标宋简体" w:eastAsia="方正小标宋简体" w:hAnsi="仿宋" w:cs="方正仿宋简体" w:hint="eastAsia"/>
          <w:szCs w:val="32"/>
        </w:rPr>
      </w:pPr>
      <w:r>
        <w:rPr>
          <w:rFonts w:ascii="方正小标宋简体" w:eastAsia="方正小标宋简体" w:hAnsi="仿宋" w:cs="方正仿宋简体" w:hint="eastAsia"/>
          <w:szCs w:val="32"/>
        </w:rPr>
        <w:t>开平</w:t>
      </w:r>
      <w:r w:rsidR="00D168E5">
        <w:rPr>
          <w:rFonts w:ascii="方正小标宋简体" w:eastAsia="方正小标宋简体" w:hAnsi="仿宋" w:cs="方正仿宋简体" w:hint="eastAsia"/>
          <w:szCs w:val="32"/>
        </w:rPr>
        <w:t>市非医用口罩产品质量监督抽查实施细则</w:t>
      </w:r>
    </w:p>
    <w:p w:rsidR="007A2753" w:rsidRDefault="00EE1463">
      <w:pPr>
        <w:snapToGrid w:val="0"/>
        <w:jc w:val="center"/>
        <w:rPr>
          <w:rFonts w:ascii="方正小标宋简体" w:eastAsia="方正小标宋简体" w:hAnsi="仿宋" w:cs="方正仿宋简体"/>
          <w:szCs w:val="32"/>
        </w:rPr>
      </w:pPr>
      <w:r>
        <w:rPr>
          <w:rFonts w:ascii="方正小标宋简体" w:eastAsia="方正小标宋简体" w:hAnsi="仿宋" w:cs="方正仿宋简体" w:hint="eastAsia"/>
          <w:szCs w:val="32"/>
        </w:rPr>
        <w:t>（2024年版）</w:t>
      </w:r>
    </w:p>
    <w:p w:rsidR="007A2753" w:rsidRDefault="007A2753">
      <w:pPr>
        <w:snapToGrid w:val="0"/>
        <w:spacing w:line="440" w:lineRule="exact"/>
        <w:ind w:firstLineChars="200" w:firstLine="420"/>
        <w:rPr>
          <w:rFonts w:ascii="宋体" w:eastAsia="宋体" w:hAnsi="宋体"/>
          <w:sz w:val="21"/>
          <w:szCs w:val="21"/>
        </w:rPr>
      </w:pPr>
    </w:p>
    <w:p w:rsidR="007A2753" w:rsidRDefault="00D168E5" w:rsidP="0096795B">
      <w:pPr>
        <w:spacing w:line="360" w:lineRule="auto"/>
        <w:ind w:firstLineChars="200" w:firstLine="420"/>
        <w:rPr>
          <w:rFonts w:ascii="黑体" w:eastAsia="黑体" w:hAnsi="宋体"/>
          <w:sz w:val="21"/>
          <w:szCs w:val="21"/>
        </w:rPr>
      </w:pPr>
      <w:r>
        <w:rPr>
          <w:rFonts w:ascii="黑体" w:eastAsia="黑体" w:hAnsi="宋体" w:hint="eastAsia"/>
          <w:sz w:val="21"/>
          <w:szCs w:val="21"/>
        </w:rPr>
        <w:t>一、抽样方法</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以随机抽样的方式在被抽样生产者、销售者的待销产品中抽取。</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随机数一般可使用随机数表等方法产生。</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每批次抽样数量见</w:t>
      </w:r>
      <w:r w:rsidR="00414704">
        <w:rPr>
          <w:rFonts w:asciiTheme="minorEastAsia" w:eastAsiaTheme="minorEastAsia" w:hAnsiTheme="minorEastAsia" w:cstheme="minorEastAsia" w:hint="eastAsia"/>
          <w:color w:val="000000"/>
          <w:sz w:val="21"/>
          <w:szCs w:val="21"/>
        </w:rPr>
        <w:t>下表</w:t>
      </w:r>
      <w:r>
        <w:rPr>
          <w:rFonts w:asciiTheme="minorEastAsia" w:eastAsiaTheme="minorEastAsia" w:hAnsiTheme="minorEastAsia" w:cstheme="minorEastAsia" w:hint="eastAsia"/>
          <w:color w:val="000000"/>
          <w:sz w:val="21"/>
          <w:szCs w:val="21"/>
        </w:rPr>
        <w:t>。</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765"/>
        <w:gridCol w:w="2028"/>
        <w:gridCol w:w="4593"/>
      </w:tblGrid>
      <w:tr w:rsidR="007A2753" w:rsidTr="0096795B">
        <w:trPr>
          <w:trHeight w:val="397"/>
          <w:tblHeader/>
          <w:jc w:val="center"/>
        </w:trPr>
        <w:tc>
          <w:tcPr>
            <w:tcW w:w="637" w:type="dxa"/>
            <w:vAlign w:val="center"/>
          </w:tcPr>
          <w:p w:rsidR="007A2753" w:rsidRDefault="00D168E5" w:rsidP="0096795B">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序号</w:t>
            </w:r>
          </w:p>
        </w:tc>
        <w:tc>
          <w:tcPr>
            <w:tcW w:w="1765" w:type="dxa"/>
            <w:vAlign w:val="center"/>
          </w:tcPr>
          <w:p w:rsidR="007A2753" w:rsidRDefault="00D168E5" w:rsidP="0096795B">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明示标准</w:t>
            </w:r>
          </w:p>
        </w:tc>
        <w:tc>
          <w:tcPr>
            <w:tcW w:w="2028" w:type="dxa"/>
            <w:vAlign w:val="center"/>
          </w:tcPr>
          <w:p w:rsidR="007A2753" w:rsidRDefault="00D168E5" w:rsidP="0096795B">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产品品种</w:t>
            </w:r>
          </w:p>
        </w:tc>
        <w:tc>
          <w:tcPr>
            <w:tcW w:w="4593" w:type="dxa"/>
            <w:vAlign w:val="center"/>
          </w:tcPr>
          <w:p w:rsidR="007A2753" w:rsidRDefault="00D168E5" w:rsidP="0096795B">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抽样数量</w:t>
            </w:r>
          </w:p>
        </w:tc>
      </w:tr>
      <w:tr w:rsidR="007A2753" w:rsidTr="0096795B">
        <w:trPr>
          <w:trHeight w:val="397"/>
          <w:jc w:val="center"/>
        </w:trPr>
        <w:tc>
          <w:tcPr>
            <w:tcW w:w="637" w:type="dxa"/>
            <w:vMerge w:val="restart"/>
            <w:vAlign w:val="center"/>
          </w:tcPr>
          <w:p w:rsidR="007A2753" w:rsidRDefault="00D168E5" w:rsidP="0096795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1765" w:type="dxa"/>
            <w:vMerge w:val="restart"/>
            <w:vAlign w:val="center"/>
          </w:tcPr>
          <w:p w:rsidR="007A2753" w:rsidRDefault="00D168E5" w:rsidP="0096795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GB 2626-2006</w:t>
            </w:r>
          </w:p>
        </w:tc>
        <w:tc>
          <w:tcPr>
            <w:tcW w:w="2028" w:type="dxa"/>
            <w:vMerge w:val="restart"/>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sz w:val="21"/>
                <w:szCs w:val="21"/>
              </w:rPr>
              <w:t>随弃式</w:t>
            </w:r>
            <w:proofErr w:type="gramEnd"/>
          </w:p>
        </w:tc>
        <w:tc>
          <w:tcPr>
            <w:tcW w:w="4593" w:type="dxa"/>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sz w:val="21"/>
                <w:szCs w:val="21"/>
              </w:rPr>
              <w:t>无阀38个</w:t>
            </w:r>
            <w:proofErr w:type="gramEnd"/>
            <w:r>
              <w:rPr>
                <w:rFonts w:asciiTheme="minorEastAsia" w:eastAsiaTheme="minorEastAsia" w:hAnsiTheme="minorEastAsia" w:cstheme="minorEastAsia" w:hint="eastAsia"/>
                <w:sz w:val="21"/>
                <w:szCs w:val="21"/>
              </w:rPr>
              <w:t>（检验样品19个，备用样品19个）</w:t>
            </w:r>
          </w:p>
        </w:tc>
      </w:tr>
      <w:tr w:rsidR="007A2753" w:rsidTr="0096795B">
        <w:trPr>
          <w:trHeight w:val="397"/>
          <w:jc w:val="center"/>
        </w:trPr>
        <w:tc>
          <w:tcPr>
            <w:tcW w:w="637" w:type="dxa"/>
            <w:vMerge/>
            <w:vAlign w:val="center"/>
          </w:tcPr>
          <w:p w:rsidR="007A2753" w:rsidRDefault="007A2753" w:rsidP="0096795B">
            <w:pPr>
              <w:jc w:val="center"/>
              <w:rPr>
                <w:rFonts w:asciiTheme="minorEastAsia" w:eastAsiaTheme="minorEastAsia" w:hAnsiTheme="minorEastAsia" w:cstheme="minorEastAsia"/>
                <w:sz w:val="21"/>
                <w:szCs w:val="21"/>
              </w:rPr>
            </w:pPr>
          </w:p>
        </w:tc>
        <w:tc>
          <w:tcPr>
            <w:tcW w:w="1765" w:type="dxa"/>
            <w:vMerge/>
            <w:vAlign w:val="center"/>
          </w:tcPr>
          <w:p w:rsidR="007A2753" w:rsidRDefault="007A2753" w:rsidP="0096795B">
            <w:pPr>
              <w:jc w:val="center"/>
              <w:rPr>
                <w:rFonts w:asciiTheme="minorEastAsia" w:eastAsiaTheme="minorEastAsia" w:hAnsiTheme="minorEastAsia" w:cstheme="minorEastAsia"/>
                <w:sz w:val="21"/>
                <w:szCs w:val="21"/>
              </w:rPr>
            </w:pPr>
          </w:p>
        </w:tc>
        <w:tc>
          <w:tcPr>
            <w:tcW w:w="2028" w:type="dxa"/>
            <w:vMerge/>
            <w:vAlign w:val="center"/>
          </w:tcPr>
          <w:p w:rsidR="007A2753" w:rsidRDefault="007A2753" w:rsidP="0096795B">
            <w:pPr>
              <w:ind w:leftChars="-50" w:left="-160" w:rightChars="-50" w:right="-160"/>
              <w:jc w:val="center"/>
              <w:rPr>
                <w:rFonts w:asciiTheme="minorEastAsia" w:eastAsiaTheme="minorEastAsia" w:hAnsiTheme="minorEastAsia" w:cstheme="minorEastAsia"/>
                <w:sz w:val="21"/>
                <w:szCs w:val="21"/>
              </w:rPr>
            </w:pPr>
          </w:p>
        </w:tc>
        <w:tc>
          <w:tcPr>
            <w:tcW w:w="4593" w:type="dxa"/>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sz w:val="21"/>
                <w:szCs w:val="21"/>
              </w:rPr>
              <w:t>有阀46个</w:t>
            </w:r>
            <w:proofErr w:type="gramEnd"/>
            <w:r>
              <w:rPr>
                <w:rFonts w:asciiTheme="minorEastAsia" w:eastAsiaTheme="minorEastAsia" w:hAnsiTheme="minorEastAsia" w:cstheme="minorEastAsia" w:hint="eastAsia"/>
                <w:sz w:val="21"/>
                <w:szCs w:val="21"/>
              </w:rPr>
              <w:t>（检验样品23个，备用样品23个）</w:t>
            </w:r>
          </w:p>
        </w:tc>
      </w:tr>
      <w:tr w:rsidR="007A2753" w:rsidTr="0096795B">
        <w:trPr>
          <w:trHeight w:val="397"/>
          <w:jc w:val="center"/>
        </w:trPr>
        <w:tc>
          <w:tcPr>
            <w:tcW w:w="637" w:type="dxa"/>
            <w:vMerge w:val="restart"/>
            <w:vAlign w:val="center"/>
          </w:tcPr>
          <w:p w:rsidR="007A2753" w:rsidRDefault="00D168E5" w:rsidP="0096795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1765" w:type="dxa"/>
            <w:vMerge w:val="restart"/>
            <w:vAlign w:val="center"/>
          </w:tcPr>
          <w:p w:rsidR="007A2753" w:rsidRDefault="00D168E5" w:rsidP="0096795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GB 2626-2019</w:t>
            </w:r>
          </w:p>
        </w:tc>
        <w:tc>
          <w:tcPr>
            <w:tcW w:w="2028" w:type="dxa"/>
            <w:vMerge w:val="restart"/>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sz w:val="21"/>
                <w:szCs w:val="21"/>
              </w:rPr>
              <w:t>随弃式</w:t>
            </w:r>
            <w:proofErr w:type="gramEnd"/>
          </w:p>
        </w:tc>
        <w:tc>
          <w:tcPr>
            <w:tcW w:w="4593" w:type="dxa"/>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sz w:val="21"/>
                <w:szCs w:val="21"/>
              </w:rPr>
              <w:t>无阀48个</w:t>
            </w:r>
            <w:proofErr w:type="gramEnd"/>
            <w:r>
              <w:rPr>
                <w:rFonts w:asciiTheme="minorEastAsia" w:eastAsiaTheme="minorEastAsia" w:hAnsiTheme="minorEastAsia" w:cstheme="minorEastAsia" w:hint="eastAsia"/>
                <w:sz w:val="21"/>
                <w:szCs w:val="21"/>
              </w:rPr>
              <w:t>（检验样品24个，备用样品24个）</w:t>
            </w:r>
          </w:p>
        </w:tc>
      </w:tr>
      <w:tr w:rsidR="007A2753" w:rsidTr="0096795B">
        <w:trPr>
          <w:trHeight w:val="397"/>
          <w:jc w:val="center"/>
        </w:trPr>
        <w:tc>
          <w:tcPr>
            <w:tcW w:w="637" w:type="dxa"/>
            <w:vMerge/>
            <w:vAlign w:val="center"/>
          </w:tcPr>
          <w:p w:rsidR="007A2753" w:rsidRDefault="007A2753" w:rsidP="0096795B">
            <w:pPr>
              <w:jc w:val="center"/>
              <w:rPr>
                <w:rFonts w:asciiTheme="minorEastAsia" w:eastAsiaTheme="minorEastAsia" w:hAnsiTheme="minorEastAsia" w:cstheme="minorEastAsia"/>
                <w:sz w:val="21"/>
                <w:szCs w:val="21"/>
              </w:rPr>
            </w:pPr>
          </w:p>
        </w:tc>
        <w:tc>
          <w:tcPr>
            <w:tcW w:w="1765" w:type="dxa"/>
            <w:vMerge/>
            <w:vAlign w:val="center"/>
          </w:tcPr>
          <w:p w:rsidR="007A2753" w:rsidRDefault="007A2753" w:rsidP="0096795B">
            <w:pPr>
              <w:jc w:val="center"/>
              <w:rPr>
                <w:rFonts w:asciiTheme="minorEastAsia" w:eastAsiaTheme="minorEastAsia" w:hAnsiTheme="minorEastAsia" w:cstheme="minorEastAsia"/>
                <w:sz w:val="21"/>
                <w:szCs w:val="21"/>
              </w:rPr>
            </w:pPr>
          </w:p>
        </w:tc>
        <w:tc>
          <w:tcPr>
            <w:tcW w:w="2028" w:type="dxa"/>
            <w:vMerge/>
            <w:vAlign w:val="center"/>
          </w:tcPr>
          <w:p w:rsidR="007A2753" w:rsidRDefault="007A2753" w:rsidP="0096795B">
            <w:pPr>
              <w:ind w:leftChars="-50" w:left="-160" w:rightChars="-50" w:right="-160"/>
              <w:jc w:val="center"/>
              <w:rPr>
                <w:rFonts w:asciiTheme="minorEastAsia" w:eastAsiaTheme="minorEastAsia" w:hAnsiTheme="minorEastAsia" w:cstheme="minorEastAsia"/>
                <w:sz w:val="21"/>
                <w:szCs w:val="21"/>
              </w:rPr>
            </w:pPr>
          </w:p>
        </w:tc>
        <w:tc>
          <w:tcPr>
            <w:tcW w:w="4593" w:type="dxa"/>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sz w:val="21"/>
                <w:szCs w:val="21"/>
              </w:rPr>
              <w:t>有阀56个</w:t>
            </w:r>
            <w:proofErr w:type="gramEnd"/>
            <w:r>
              <w:rPr>
                <w:rFonts w:asciiTheme="minorEastAsia" w:eastAsiaTheme="minorEastAsia" w:hAnsiTheme="minorEastAsia" w:cstheme="minorEastAsia" w:hint="eastAsia"/>
                <w:sz w:val="21"/>
                <w:szCs w:val="21"/>
              </w:rPr>
              <w:t>（检验样品28个，备用样品28个）</w:t>
            </w:r>
          </w:p>
        </w:tc>
      </w:tr>
      <w:tr w:rsidR="007A2753" w:rsidTr="0096795B">
        <w:trPr>
          <w:trHeight w:val="397"/>
          <w:jc w:val="center"/>
        </w:trPr>
        <w:tc>
          <w:tcPr>
            <w:tcW w:w="637" w:type="dxa"/>
            <w:vMerge/>
            <w:vAlign w:val="center"/>
          </w:tcPr>
          <w:p w:rsidR="007A2753" w:rsidRDefault="007A2753" w:rsidP="0096795B">
            <w:pPr>
              <w:jc w:val="center"/>
              <w:rPr>
                <w:rFonts w:asciiTheme="minorEastAsia" w:eastAsiaTheme="minorEastAsia" w:hAnsiTheme="minorEastAsia" w:cstheme="minorEastAsia"/>
                <w:sz w:val="21"/>
                <w:szCs w:val="21"/>
              </w:rPr>
            </w:pPr>
          </w:p>
        </w:tc>
        <w:tc>
          <w:tcPr>
            <w:tcW w:w="1765" w:type="dxa"/>
            <w:vMerge/>
            <w:vAlign w:val="center"/>
          </w:tcPr>
          <w:p w:rsidR="007A2753" w:rsidRDefault="007A2753" w:rsidP="0096795B">
            <w:pPr>
              <w:jc w:val="center"/>
              <w:rPr>
                <w:rFonts w:asciiTheme="minorEastAsia" w:eastAsiaTheme="minorEastAsia" w:hAnsiTheme="minorEastAsia" w:cstheme="minorEastAsia"/>
                <w:sz w:val="21"/>
                <w:szCs w:val="21"/>
              </w:rPr>
            </w:pPr>
          </w:p>
        </w:tc>
        <w:tc>
          <w:tcPr>
            <w:tcW w:w="2028" w:type="dxa"/>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儿童卫生口罩（W）</w:t>
            </w:r>
          </w:p>
        </w:tc>
        <w:tc>
          <w:tcPr>
            <w:tcW w:w="4593" w:type="dxa"/>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6个（检验样品3个，备用样品3个）</w:t>
            </w:r>
          </w:p>
        </w:tc>
      </w:tr>
      <w:tr w:rsidR="007A2753" w:rsidTr="0096795B">
        <w:trPr>
          <w:trHeight w:val="397"/>
          <w:jc w:val="center"/>
        </w:trPr>
        <w:tc>
          <w:tcPr>
            <w:tcW w:w="637" w:type="dxa"/>
            <w:vAlign w:val="center"/>
          </w:tcPr>
          <w:p w:rsidR="007A2753" w:rsidRDefault="00F31025" w:rsidP="0096795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1765" w:type="dxa"/>
            <w:vAlign w:val="center"/>
          </w:tcPr>
          <w:p w:rsidR="007A2753" w:rsidRDefault="00D168E5" w:rsidP="0096795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其他标准</w:t>
            </w:r>
          </w:p>
        </w:tc>
        <w:tc>
          <w:tcPr>
            <w:tcW w:w="2028" w:type="dxa"/>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4593" w:type="dxa"/>
            <w:vAlign w:val="center"/>
          </w:tcPr>
          <w:p w:rsidR="007A2753" w:rsidRDefault="00D168E5" w:rsidP="0096795B">
            <w:pPr>
              <w:ind w:leftChars="-50" w:left="-160" w:rightChars="-50" w:right="-16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72个（检验样品36个，备用样品36个）</w:t>
            </w:r>
          </w:p>
        </w:tc>
      </w:tr>
      <w:tr w:rsidR="007A2753" w:rsidTr="0096795B">
        <w:trPr>
          <w:trHeight w:val="397"/>
          <w:jc w:val="center"/>
        </w:trPr>
        <w:tc>
          <w:tcPr>
            <w:tcW w:w="9023" w:type="dxa"/>
            <w:gridSpan w:val="4"/>
            <w:vAlign w:val="center"/>
          </w:tcPr>
          <w:p w:rsidR="007A2753" w:rsidRDefault="00D168E5" w:rsidP="0096795B">
            <w:pPr>
              <w:jc w:val="left"/>
              <w:rPr>
                <w:rFonts w:asciiTheme="minorEastAsia" w:eastAsiaTheme="minorEastAsia" w:hAnsiTheme="minorEastAsia" w:cstheme="minorEastAsia"/>
                <w:color w:val="FF0000"/>
                <w:sz w:val="21"/>
                <w:szCs w:val="21"/>
              </w:rPr>
            </w:pPr>
            <w:r>
              <w:rPr>
                <w:rFonts w:asciiTheme="minorEastAsia" w:eastAsiaTheme="minorEastAsia" w:hAnsiTheme="minorEastAsia" w:cstheme="minorEastAsia" w:hint="eastAsia"/>
                <w:color w:val="000000"/>
                <w:sz w:val="21"/>
                <w:szCs w:val="21"/>
              </w:rPr>
              <w:t>注：抽取检验样品或备用样品不足最小销售包装的整数</w:t>
            </w:r>
            <w:proofErr w:type="gramStart"/>
            <w:r>
              <w:rPr>
                <w:rFonts w:asciiTheme="minorEastAsia" w:eastAsiaTheme="minorEastAsia" w:hAnsiTheme="minorEastAsia" w:cstheme="minorEastAsia" w:hint="eastAsia"/>
                <w:color w:val="000000"/>
                <w:sz w:val="21"/>
                <w:szCs w:val="21"/>
              </w:rPr>
              <w:t>倍</w:t>
            </w:r>
            <w:proofErr w:type="gramEnd"/>
            <w:r>
              <w:rPr>
                <w:rFonts w:asciiTheme="minorEastAsia" w:eastAsiaTheme="minorEastAsia" w:hAnsiTheme="minorEastAsia" w:cstheme="minorEastAsia" w:hint="eastAsia"/>
                <w:color w:val="000000"/>
                <w:sz w:val="21"/>
                <w:szCs w:val="21"/>
              </w:rPr>
              <w:t>时，抽取最小销售包装的整数</w:t>
            </w:r>
            <w:proofErr w:type="gramStart"/>
            <w:r>
              <w:rPr>
                <w:rFonts w:asciiTheme="minorEastAsia" w:eastAsiaTheme="minorEastAsia" w:hAnsiTheme="minorEastAsia" w:cstheme="minorEastAsia" w:hint="eastAsia"/>
                <w:color w:val="000000"/>
                <w:sz w:val="21"/>
                <w:szCs w:val="21"/>
              </w:rPr>
              <w:t>倍</w:t>
            </w:r>
            <w:proofErr w:type="gramEnd"/>
            <w:r>
              <w:rPr>
                <w:rFonts w:asciiTheme="minorEastAsia" w:eastAsiaTheme="minorEastAsia" w:hAnsiTheme="minorEastAsia" w:cstheme="minorEastAsia" w:hint="eastAsia"/>
                <w:color w:val="000000"/>
                <w:sz w:val="21"/>
                <w:szCs w:val="21"/>
              </w:rPr>
              <w:t>，不破坏最小销售包装。</w:t>
            </w:r>
          </w:p>
        </w:tc>
      </w:tr>
    </w:tbl>
    <w:p w:rsidR="007260EE" w:rsidRDefault="007260EE" w:rsidP="0096795B">
      <w:pPr>
        <w:spacing w:line="360" w:lineRule="auto"/>
        <w:ind w:firstLineChars="200" w:firstLine="420"/>
        <w:rPr>
          <w:rFonts w:ascii="黑体" w:eastAsia="黑体" w:hAnsi="宋体"/>
          <w:sz w:val="21"/>
          <w:szCs w:val="21"/>
        </w:rPr>
      </w:pP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黑体" w:eastAsia="黑体" w:hAnsi="宋体" w:hint="eastAsia"/>
          <w:sz w:val="21"/>
          <w:szCs w:val="21"/>
        </w:rPr>
        <w:t>二、主要检验项目及检验项目属性划分</w:t>
      </w:r>
    </w:p>
    <w:p w:rsidR="007A2753" w:rsidRDefault="00D168E5" w:rsidP="0096795B">
      <w:pPr>
        <w:spacing w:line="360" w:lineRule="auto"/>
        <w:ind w:firstLineChars="200" w:firstLine="420"/>
        <w:jc w:val="left"/>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（一）明示标准为GB 2626的非医用口罩</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897"/>
        <w:gridCol w:w="2135"/>
        <w:gridCol w:w="785"/>
        <w:gridCol w:w="785"/>
        <w:gridCol w:w="785"/>
        <w:gridCol w:w="785"/>
        <w:gridCol w:w="785"/>
      </w:tblGrid>
      <w:tr w:rsidR="007A2753" w:rsidTr="00414704">
        <w:trPr>
          <w:trHeight w:val="397"/>
          <w:jc w:val="center"/>
        </w:trPr>
        <w:tc>
          <w:tcPr>
            <w:tcW w:w="456"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序号</w:t>
            </w:r>
          </w:p>
        </w:tc>
        <w:tc>
          <w:tcPr>
            <w:tcW w:w="1083"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检验项目</w:t>
            </w:r>
          </w:p>
        </w:tc>
        <w:tc>
          <w:tcPr>
            <w:tcW w:w="1219"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检验方法</w:t>
            </w:r>
          </w:p>
        </w:tc>
        <w:tc>
          <w:tcPr>
            <w:tcW w:w="448"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强制性</w:t>
            </w:r>
          </w:p>
        </w:tc>
        <w:tc>
          <w:tcPr>
            <w:tcW w:w="448"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非强</w:t>
            </w:r>
          </w:p>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制性</w:t>
            </w:r>
          </w:p>
        </w:tc>
        <w:tc>
          <w:tcPr>
            <w:tcW w:w="448"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重要项</w:t>
            </w:r>
          </w:p>
        </w:tc>
        <w:tc>
          <w:tcPr>
            <w:tcW w:w="448"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较重</w:t>
            </w:r>
          </w:p>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要项</w:t>
            </w:r>
          </w:p>
        </w:tc>
        <w:tc>
          <w:tcPr>
            <w:tcW w:w="448"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次要项</w:t>
            </w:r>
          </w:p>
        </w:tc>
      </w:tr>
      <w:tr w:rsidR="007A2753" w:rsidTr="00414704">
        <w:trPr>
          <w:trHeight w:val="397"/>
          <w:jc w:val="center"/>
        </w:trPr>
        <w:tc>
          <w:tcPr>
            <w:tcW w:w="456"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1083"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过滤效率</w:t>
            </w:r>
          </w:p>
        </w:tc>
        <w:tc>
          <w:tcPr>
            <w:tcW w:w="1219" w:type="pct"/>
            <w:vMerge w:val="restart"/>
            <w:vAlign w:val="center"/>
          </w:tcPr>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GB 2626-2006</w:t>
            </w:r>
          </w:p>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GB 2626-2019</w:t>
            </w:r>
          </w:p>
        </w:tc>
        <w:tc>
          <w:tcPr>
            <w:tcW w:w="448" w:type="pct"/>
            <w:vAlign w:val="center"/>
          </w:tcPr>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c>
          <w:tcPr>
            <w:tcW w:w="448" w:type="pct"/>
            <w:vAlign w:val="center"/>
          </w:tcPr>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r>
      <w:tr w:rsidR="007A2753" w:rsidTr="00414704">
        <w:trPr>
          <w:trHeight w:val="397"/>
          <w:jc w:val="center"/>
        </w:trPr>
        <w:tc>
          <w:tcPr>
            <w:tcW w:w="456"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p>
        </w:tc>
        <w:tc>
          <w:tcPr>
            <w:tcW w:w="1083"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呼吸阻力</w:t>
            </w:r>
          </w:p>
        </w:tc>
        <w:tc>
          <w:tcPr>
            <w:tcW w:w="1219" w:type="pct"/>
            <w:vMerge/>
            <w:vAlign w:val="center"/>
          </w:tcPr>
          <w:p w:rsidR="007A2753" w:rsidRDefault="007A2753" w:rsidP="00A37A1D">
            <w:pPr>
              <w:jc w:val="center"/>
              <w:rPr>
                <w:rFonts w:asciiTheme="minorEastAsia" w:eastAsiaTheme="minorEastAsia" w:hAnsiTheme="minorEastAsia" w:cstheme="minorEastAsia"/>
                <w:color w:val="000000"/>
                <w:sz w:val="21"/>
                <w:szCs w:val="21"/>
              </w:rPr>
            </w:pPr>
          </w:p>
        </w:tc>
        <w:tc>
          <w:tcPr>
            <w:tcW w:w="448" w:type="pct"/>
            <w:vAlign w:val="center"/>
          </w:tcPr>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c>
          <w:tcPr>
            <w:tcW w:w="448" w:type="pct"/>
            <w:vAlign w:val="center"/>
          </w:tcPr>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r>
      <w:tr w:rsidR="007A2753" w:rsidTr="00414704">
        <w:trPr>
          <w:trHeight w:val="397"/>
          <w:jc w:val="center"/>
        </w:trPr>
        <w:tc>
          <w:tcPr>
            <w:tcW w:w="456"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p>
        </w:tc>
        <w:tc>
          <w:tcPr>
            <w:tcW w:w="1083"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呼气阀气密性</w:t>
            </w:r>
          </w:p>
        </w:tc>
        <w:tc>
          <w:tcPr>
            <w:tcW w:w="1219" w:type="pct"/>
            <w:vMerge/>
            <w:vAlign w:val="center"/>
          </w:tcPr>
          <w:p w:rsidR="007A2753" w:rsidRDefault="007A2753" w:rsidP="00A37A1D">
            <w:pPr>
              <w:jc w:val="center"/>
              <w:rPr>
                <w:rFonts w:asciiTheme="minorEastAsia" w:eastAsiaTheme="minorEastAsia" w:hAnsiTheme="minorEastAsia" w:cstheme="minorEastAsia"/>
                <w:color w:val="000000"/>
                <w:sz w:val="21"/>
                <w:szCs w:val="21"/>
              </w:rPr>
            </w:pPr>
          </w:p>
        </w:tc>
        <w:tc>
          <w:tcPr>
            <w:tcW w:w="448" w:type="pct"/>
            <w:vAlign w:val="center"/>
          </w:tcPr>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c>
          <w:tcPr>
            <w:tcW w:w="448" w:type="pct"/>
            <w:vAlign w:val="center"/>
          </w:tcPr>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r>
      <w:tr w:rsidR="007A2753" w:rsidTr="00414704">
        <w:trPr>
          <w:trHeight w:val="397"/>
          <w:jc w:val="center"/>
        </w:trPr>
        <w:tc>
          <w:tcPr>
            <w:tcW w:w="456"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w:t>
            </w:r>
          </w:p>
        </w:tc>
        <w:tc>
          <w:tcPr>
            <w:tcW w:w="1083" w:type="pct"/>
            <w:vAlign w:val="center"/>
          </w:tcPr>
          <w:p w:rsidR="007A2753" w:rsidRDefault="00D168E5" w:rsidP="00A37A1D">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头带</w:t>
            </w:r>
          </w:p>
        </w:tc>
        <w:tc>
          <w:tcPr>
            <w:tcW w:w="1219" w:type="pct"/>
            <w:vMerge/>
            <w:vAlign w:val="center"/>
          </w:tcPr>
          <w:p w:rsidR="007A2753" w:rsidRDefault="007A2753" w:rsidP="00A37A1D">
            <w:pPr>
              <w:jc w:val="center"/>
              <w:rPr>
                <w:rFonts w:asciiTheme="minorEastAsia" w:eastAsiaTheme="minorEastAsia" w:hAnsiTheme="minorEastAsia" w:cstheme="minorEastAsia"/>
                <w:sz w:val="21"/>
                <w:szCs w:val="21"/>
              </w:rPr>
            </w:pPr>
          </w:p>
        </w:tc>
        <w:tc>
          <w:tcPr>
            <w:tcW w:w="448" w:type="pct"/>
            <w:vAlign w:val="center"/>
          </w:tcPr>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c>
          <w:tcPr>
            <w:tcW w:w="448" w:type="pct"/>
            <w:vAlign w:val="center"/>
          </w:tcPr>
          <w:p w:rsidR="007A2753" w:rsidRDefault="00D168E5" w:rsidP="00A37A1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448" w:type="pct"/>
            <w:vAlign w:val="center"/>
          </w:tcPr>
          <w:p w:rsidR="007A2753" w:rsidRDefault="007A2753" w:rsidP="00A37A1D">
            <w:pPr>
              <w:jc w:val="center"/>
              <w:rPr>
                <w:rFonts w:asciiTheme="minorEastAsia" w:eastAsiaTheme="minorEastAsia" w:hAnsiTheme="minorEastAsia" w:cstheme="minorEastAsia"/>
                <w:sz w:val="21"/>
                <w:szCs w:val="21"/>
              </w:rPr>
            </w:pPr>
          </w:p>
        </w:tc>
      </w:tr>
    </w:tbl>
    <w:p w:rsidR="007A2753" w:rsidRDefault="00D168E5" w:rsidP="0096795B">
      <w:pPr>
        <w:spacing w:line="360" w:lineRule="auto"/>
        <w:ind w:firstLineChars="200" w:firstLine="420"/>
        <w:jc w:val="left"/>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w:t>
      </w:r>
      <w:r w:rsidR="00F31025">
        <w:rPr>
          <w:rFonts w:asciiTheme="minorEastAsia" w:eastAsiaTheme="minorEastAsia" w:hAnsiTheme="minorEastAsia" w:cstheme="minorEastAsia" w:hint="eastAsia"/>
          <w:color w:val="000000"/>
          <w:sz w:val="21"/>
          <w:szCs w:val="21"/>
        </w:rPr>
        <w:t>二</w:t>
      </w:r>
      <w:r>
        <w:rPr>
          <w:rFonts w:asciiTheme="minorEastAsia" w:eastAsiaTheme="minorEastAsia" w:hAnsiTheme="minorEastAsia" w:cstheme="minorEastAsia" w:hint="eastAsia"/>
          <w:color w:val="000000"/>
          <w:sz w:val="21"/>
          <w:szCs w:val="21"/>
        </w:rPr>
        <w:t>）明示产品标准为T/CTCA 7-2019</w:t>
      </w:r>
    </w:p>
    <w:tbl>
      <w:tblPr>
        <w:tblW w:w="8712" w:type="dxa"/>
        <w:tblInd w:w="-57" w:type="dxa"/>
        <w:tblLayout w:type="fixed"/>
        <w:tblCellMar>
          <w:top w:w="15" w:type="dxa"/>
          <w:left w:w="15" w:type="dxa"/>
          <w:bottom w:w="15" w:type="dxa"/>
          <w:right w:w="15" w:type="dxa"/>
        </w:tblCellMar>
        <w:tblLook w:val="04A0" w:firstRow="1" w:lastRow="0" w:firstColumn="1" w:lastColumn="0" w:noHBand="0" w:noVBand="1"/>
      </w:tblPr>
      <w:tblGrid>
        <w:gridCol w:w="747"/>
        <w:gridCol w:w="2403"/>
        <w:gridCol w:w="1876"/>
        <w:gridCol w:w="709"/>
        <w:gridCol w:w="708"/>
        <w:gridCol w:w="709"/>
        <w:gridCol w:w="855"/>
        <w:gridCol w:w="705"/>
      </w:tblGrid>
      <w:tr w:rsidR="007A2753" w:rsidTr="00DC4A95">
        <w:trPr>
          <w:trHeight w:val="397"/>
          <w:tblHeader/>
        </w:trPr>
        <w:tc>
          <w:tcPr>
            <w:tcW w:w="747" w:type="dxa"/>
            <w:tcBorders>
              <w:top w:val="single" w:sz="8" w:space="0" w:color="000000"/>
              <w:left w:val="single" w:sz="8" w:space="0" w:color="000000"/>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pacing w:val="-6"/>
                <w:sz w:val="21"/>
                <w:szCs w:val="21"/>
              </w:rPr>
              <w:t>序号</w:t>
            </w:r>
          </w:p>
        </w:tc>
        <w:tc>
          <w:tcPr>
            <w:tcW w:w="2403"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pacing w:val="-6"/>
                <w:sz w:val="21"/>
                <w:szCs w:val="21"/>
              </w:rPr>
              <w:t>检验项目</w:t>
            </w:r>
          </w:p>
        </w:tc>
        <w:tc>
          <w:tcPr>
            <w:tcW w:w="1876"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pacing w:val="-6"/>
                <w:sz w:val="21"/>
                <w:szCs w:val="21"/>
              </w:rPr>
              <w:t>检验方法</w:t>
            </w:r>
          </w:p>
        </w:tc>
        <w:tc>
          <w:tcPr>
            <w:tcW w:w="709"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pacing w:val="-6"/>
                <w:sz w:val="21"/>
                <w:szCs w:val="21"/>
              </w:rPr>
              <w:t>强制性</w:t>
            </w:r>
          </w:p>
        </w:tc>
        <w:tc>
          <w:tcPr>
            <w:tcW w:w="708"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jc w:val="center"/>
              <w:rPr>
                <w:rFonts w:asciiTheme="minorEastAsia" w:eastAsiaTheme="minorEastAsia" w:hAnsiTheme="minorEastAsia" w:cstheme="minorEastAsia"/>
                <w:color w:val="000000"/>
                <w:spacing w:val="-6"/>
                <w:sz w:val="21"/>
                <w:szCs w:val="21"/>
              </w:rPr>
            </w:pPr>
            <w:r>
              <w:rPr>
                <w:rFonts w:asciiTheme="minorEastAsia" w:eastAsiaTheme="minorEastAsia" w:hAnsiTheme="minorEastAsia" w:cstheme="minorEastAsia" w:hint="eastAsia"/>
                <w:color w:val="000000"/>
                <w:spacing w:val="-6"/>
                <w:sz w:val="21"/>
                <w:szCs w:val="21"/>
              </w:rPr>
              <w:t>非强</w:t>
            </w:r>
          </w:p>
          <w:p w:rsidR="007A2753" w:rsidRDefault="00D168E5" w:rsidP="00D168E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pacing w:val="-6"/>
                <w:sz w:val="21"/>
                <w:szCs w:val="21"/>
              </w:rPr>
              <w:t>制性</w:t>
            </w:r>
          </w:p>
        </w:tc>
        <w:tc>
          <w:tcPr>
            <w:tcW w:w="709"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pacing w:val="-6"/>
                <w:sz w:val="21"/>
                <w:szCs w:val="21"/>
              </w:rPr>
              <w:t>重要项</w:t>
            </w:r>
          </w:p>
        </w:tc>
        <w:tc>
          <w:tcPr>
            <w:tcW w:w="855"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jc w:val="center"/>
              <w:rPr>
                <w:rFonts w:asciiTheme="minorEastAsia" w:eastAsiaTheme="minorEastAsia" w:hAnsiTheme="minorEastAsia" w:cstheme="minorEastAsia"/>
                <w:color w:val="000000"/>
                <w:spacing w:val="-6"/>
                <w:sz w:val="21"/>
                <w:szCs w:val="21"/>
              </w:rPr>
            </w:pPr>
            <w:r>
              <w:rPr>
                <w:rFonts w:asciiTheme="minorEastAsia" w:eastAsiaTheme="minorEastAsia" w:hAnsiTheme="minorEastAsia" w:cstheme="minorEastAsia" w:hint="eastAsia"/>
                <w:color w:val="000000"/>
                <w:spacing w:val="-6"/>
                <w:sz w:val="21"/>
                <w:szCs w:val="21"/>
              </w:rPr>
              <w:t>较重</w:t>
            </w:r>
          </w:p>
          <w:p w:rsidR="007A2753" w:rsidRDefault="00D168E5" w:rsidP="00D168E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pacing w:val="-6"/>
                <w:sz w:val="21"/>
                <w:szCs w:val="21"/>
              </w:rPr>
              <w:t>要项</w:t>
            </w:r>
          </w:p>
        </w:tc>
        <w:tc>
          <w:tcPr>
            <w:tcW w:w="705"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pacing w:val="-6"/>
                <w:sz w:val="21"/>
                <w:szCs w:val="21"/>
              </w:rPr>
              <w:t>次要项</w:t>
            </w:r>
          </w:p>
        </w:tc>
      </w:tr>
      <w:tr w:rsidR="007A2753" w:rsidTr="00D168E5">
        <w:trPr>
          <w:trHeight w:val="397"/>
        </w:trPr>
        <w:tc>
          <w:tcPr>
            <w:tcW w:w="747"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2403"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口罩带及口罩带与口罩体的连接处断裂强力</w:t>
            </w:r>
          </w:p>
        </w:tc>
        <w:tc>
          <w:tcPr>
            <w:tcW w:w="1876" w:type="dxa"/>
            <w:vMerge w:val="restart"/>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T/CTCA 7-2019</w:t>
            </w:r>
          </w:p>
        </w:tc>
        <w:tc>
          <w:tcPr>
            <w:tcW w:w="709" w:type="dxa"/>
            <w:tcBorders>
              <w:top w:val="nil"/>
              <w:left w:val="nil"/>
              <w:bottom w:val="single" w:sz="8" w:space="0" w:color="000000"/>
              <w:right w:val="single" w:sz="8" w:space="0" w:color="000000"/>
            </w:tcBorders>
            <w:tcMar>
              <w:top w:w="75" w:type="dxa"/>
              <w:left w:w="150" w:type="dxa"/>
              <w:bottom w:w="75" w:type="dxa"/>
              <w:right w:w="150" w:type="dxa"/>
            </w:tcMa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8"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709"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855"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705"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r>
      <w:tr w:rsidR="007A2753" w:rsidTr="00D168E5">
        <w:trPr>
          <w:trHeight w:val="397"/>
        </w:trPr>
        <w:tc>
          <w:tcPr>
            <w:tcW w:w="747"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2403"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细菌过滤效率</w:t>
            </w:r>
          </w:p>
        </w:tc>
        <w:tc>
          <w:tcPr>
            <w:tcW w:w="1876" w:type="dxa"/>
            <w:vMerge/>
            <w:tcBorders>
              <w:left w:val="nil"/>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9" w:type="dxa"/>
            <w:tcBorders>
              <w:top w:val="nil"/>
              <w:left w:val="nil"/>
              <w:bottom w:val="single" w:sz="8" w:space="0" w:color="000000"/>
              <w:right w:val="single" w:sz="8" w:space="0" w:color="000000"/>
            </w:tcBorders>
            <w:tcMar>
              <w:top w:w="75" w:type="dxa"/>
              <w:left w:w="150" w:type="dxa"/>
              <w:bottom w:w="75" w:type="dxa"/>
              <w:right w:w="150" w:type="dxa"/>
            </w:tcMa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8"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709"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855"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5"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r>
      <w:tr w:rsidR="007A2753" w:rsidTr="00D168E5">
        <w:trPr>
          <w:trHeight w:val="397"/>
        </w:trPr>
        <w:tc>
          <w:tcPr>
            <w:tcW w:w="747"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2403"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颗粒物过滤效率</w:t>
            </w:r>
          </w:p>
        </w:tc>
        <w:tc>
          <w:tcPr>
            <w:tcW w:w="1876" w:type="dxa"/>
            <w:vMerge/>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9" w:type="dxa"/>
            <w:tcBorders>
              <w:top w:val="nil"/>
              <w:left w:val="nil"/>
              <w:bottom w:val="single" w:sz="8" w:space="0" w:color="000000"/>
              <w:right w:val="single" w:sz="8" w:space="0" w:color="000000"/>
            </w:tcBorders>
            <w:tcMar>
              <w:top w:w="75" w:type="dxa"/>
              <w:left w:w="150" w:type="dxa"/>
              <w:bottom w:w="75" w:type="dxa"/>
              <w:right w:w="150" w:type="dxa"/>
            </w:tcMa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8"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709"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855"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5"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r>
      <w:tr w:rsidR="007A2753" w:rsidTr="00D168E5">
        <w:trPr>
          <w:trHeight w:val="397"/>
        </w:trPr>
        <w:tc>
          <w:tcPr>
            <w:tcW w:w="747"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4</w:t>
            </w:r>
          </w:p>
        </w:tc>
        <w:tc>
          <w:tcPr>
            <w:tcW w:w="2403"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通气阻力</w:t>
            </w:r>
          </w:p>
        </w:tc>
        <w:tc>
          <w:tcPr>
            <w:tcW w:w="1876" w:type="dxa"/>
            <w:vMerge/>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9" w:type="dxa"/>
            <w:tcBorders>
              <w:top w:val="nil"/>
              <w:left w:val="nil"/>
              <w:bottom w:val="single" w:sz="8" w:space="0" w:color="000000"/>
              <w:right w:val="single" w:sz="8" w:space="0" w:color="000000"/>
            </w:tcBorders>
            <w:tcMar>
              <w:top w:w="75" w:type="dxa"/>
              <w:left w:w="150" w:type="dxa"/>
              <w:bottom w:w="75" w:type="dxa"/>
              <w:right w:w="150" w:type="dxa"/>
            </w:tcMa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8"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709"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855"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705"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bookmarkStart w:id="0" w:name="_GoBack"/>
        <w:bookmarkEnd w:id="0"/>
      </w:tr>
      <w:tr w:rsidR="007A2753" w:rsidTr="00D168E5">
        <w:trPr>
          <w:trHeight w:val="397"/>
        </w:trPr>
        <w:tc>
          <w:tcPr>
            <w:tcW w:w="747" w:type="dxa"/>
            <w:tcBorders>
              <w:top w:val="nil"/>
              <w:left w:val="single" w:sz="8" w:space="0" w:color="000000"/>
              <w:bottom w:val="single" w:sz="4" w:space="0" w:color="auto"/>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w:t>
            </w:r>
          </w:p>
        </w:tc>
        <w:tc>
          <w:tcPr>
            <w:tcW w:w="2403" w:type="dxa"/>
            <w:tcBorders>
              <w:top w:val="nil"/>
              <w:left w:val="nil"/>
              <w:bottom w:val="single" w:sz="4" w:space="0" w:color="auto"/>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微生物</w:t>
            </w:r>
          </w:p>
        </w:tc>
        <w:tc>
          <w:tcPr>
            <w:tcW w:w="1876" w:type="dxa"/>
            <w:vMerge/>
            <w:tcBorders>
              <w:top w:val="nil"/>
              <w:left w:val="nil"/>
              <w:bottom w:val="single" w:sz="4" w:space="0" w:color="auto"/>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9" w:type="dxa"/>
            <w:tcBorders>
              <w:top w:val="nil"/>
              <w:left w:val="nil"/>
              <w:bottom w:val="single" w:sz="4" w:space="0" w:color="auto"/>
              <w:right w:val="single" w:sz="8" w:space="0" w:color="000000"/>
            </w:tcBorders>
            <w:tcMar>
              <w:top w:w="75" w:type="dxa"/>
              <w:left w:w="150" w:type="dxa"/>
              <w:bottom w:w="75" w:type="dxa"/>
              <w:right w:w="150" w:type="dxa"/>
            </w:tcMa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8" w:type="dxa"/>
            <w:tcBorders>
              <w:top w:val="nil"/>
              <w:left w:val="nil"/>
              <w:bottom w:val="single" w:sz="4" w:space="0" w:color="auto"/>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709" w:type="dxa"/>
            <w:tcBorders>
              <w:top w:val="nil"/>
              <w:left w:val="nil"/>
              <w:bottom w:val="single" w:sz="4" w:space="0" w:color="auto"/>
              <w:right w:val="single" w:sz="8" w:space="0" w:color="000000"/>
            </w:tcBorders>
            <w:tcMar>
              <w:top w:w="75" w:type="dxa"/>
              <w:left w:w="150" w:type="dxa"/>
              <w:bottom w:w="75" w:type="dxa"/>
              <w:right w:w="150" w:type="dxa"/>
            </w:tcMar>
            <w:vAlign w:val="center"/>
          </w:tcPr>
          <w:p w:rsidR="007A2753" w:rsidRDefault="00D168E5" w:rsidP="00D168E5">
            <w:pPr>
              <w:widowControl/>
              <w:tabs>
                <w:tab w:val="left" w:pos="492"/>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855" w:type="dxa"/>
            <w:tcBorders>
              <w:top w:val="nil"/>
              <w:left w:val="nil"/>
              <w:bottom w:val="single" w:sz="4" w:space="0" w:color="auto"/>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c>
          <w:tcPr>
            <w:tcW w:w="705" w:type="dxa"/>
            <w:tcBorders>
              <w:top w:val="nil"/>
              <w:left w:val="nil"/>
              <w:bottom w:val="single" w:sz="4" w:space="0" w:color="auto"/>
              <w:right w:val="single" w:sz="8" w:space="0" w:color="000000"/>
            </w:tcBorders>
            <w:tcMar>
              <w:top w:w="75" w:type="dxa"/>
              <w:left w:w="150" w:type="dxa"/>
              <w:bottom w:w="75" w:type="dxa"/>
              <w:right w:w="150" w:type="dxa"/>
            </w:tcMar>
            <w:vAlign w:val="center"/>
          </w:tcPr>
          <w:p w:rsidR="007A2753" w:rsidRDefault="007A2753" w:rsidP="00D168E5">
            <w:pPr>
              <w:widowControl/>
              <w:tabs>
                <w:tab w:val="left" w:pos="492"/>
              </w:tabs>
              <w:jc w:val="center"/>
              <w:rPr>
                <w:rFonts w:asciiTheme="minorEastAsia" w:eastAsiaTheme="minorEastAsia" w:hAnsiTheme="minorEastAsia" w:cstheme="minorEastAsia"/>
                <w:sz w:val="21"/>
                <w:szCs w:val="21"/>
              </w:rPr>
            </w:pPr>
          </w:p>
        </w:tc>
      </w:tr>
      <w:tr w:rsidR="007A2753" w:rsidTr="00D168E5">
        <w:trPr>
          <w:trHeight w:val="397"/>
        </w:trPr>
        <w:tc>
          <w:tcPr>
            <w:tcW w:w="8712" w:type="dxa"/>
            <w:gridSpan w:val="8"/>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rsidR="007A2753" w:rsidRDefault="00D168E5" w:rsidP="00D168E5">
            <w:pPr>
              <w:widowControl/>
              <w:tabs>
                <w:tab w:val="left" w:pos="492"/>
              </w:tabs>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注：微生物不进行复检。</w:t>
            </w:r>
          </w:p>
        </w:tc>
      </w:tr>
    </w:tbl>
    <w:p w:rsidR="007A2753" w:rsidRDefault="00D168E5" w:rsidP="0096795B">
      <w:pPr>
        <w:widowControl/>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执行企业标准、团体标准、地方标准的产品，检验项目参照上述内容执行。</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凡是注日期的文件，其随后所有的修改单（不包括勘误的内容）或修订版不适用于本细则。凡是不注日期的文件，其最新版本适用于本细则。</w:t>
      </w:r>
    </w:p>
    <w:p w:rsidR="007A2753" w:rsidRDefault="007A2753" w:rsidP="0096795B">
      <w:pPr>
        <w:spacing w:line="360" w:lineRule="auto"/>
        <w:ind w:firstLineChars="200" w:firstLine="420"/>
        <w:rPr>
          <w:rFonts w:asciiTheme="minorEastAsia" w:eastAsiaTheme="minorEastAsia" w:hAnsiTheme="minorEastAsia" w:cstheme="minorEastAsia"/>
          <w:color w:val="000000"/>
          <w:sz w:val="21"/>
          <w:szCs w:val="21"/>
        </w:rPr>
      </w:pPr>
    </w:p>
    <w:p w:rsidR="007A2753" w:rsidRDefault="00D168E5" w:rsidP="0096795B">
      <w:pPr>
        <w:spacing w:line="360" w:lineRule="auto"/>
        <w:ind w:firstLineChars="200" w:firstLine="420"/>
        <w:rPr>
          <w:rFonts w:ascii="黑体" w:eastAsia="黑体" w:hAnsi="宋体"/>
          <w:sz w:val="21"/>
          <w:szCs w:val="21"/>
        </w:rPr>
      </w:pPr>
      <w:r>
        <w:rPr>
          <w:rFonts w:ascii="黑体" w:eastAsia="黑体" w:hAnsi="宋体" w:hint="eastAsia"/>
          <w:sz w:val="21"/>
          <w:szCs w:val="21"/>
        </w:rPr>
        <w:t>三、判定规则</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（一）依据标准</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GB 2626-2006 《呼吸防护用品 自吸过滤式防颗粒物呼吸器》；</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GB 2626-2019 《呼吸防护 自吸过滤式防颗粒物呼吸器》；</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T/CTCA 7-2019《普通防护口罩》；</w:t>
      </w:r>
    </w:p>
    <w:p w:rsidR="007A2753" w:rsidRDefault="00D168E5" w:rsidP="0096795B">
      <w:pPr>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国家标准化管理委员会关于延长GB 2626-2019《呼吸防护 自吸过滤式防颗粒物呼吸器》国家标准过渡期的通知（国标委发〔2020〕29号）；</w:t>
      </w:r>
    </w:p>
    <w:p w:rsidR="007A2753" w:rsidRDefault="00D168E5" w:rsidP="0096795B">
      <w:pPr>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现行有效的企业标准和产品明示指标或其他相适应的产品标准。</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（二）判定原则</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经检验，检验项目全部合格，判定为抽取的样本所检项目未检出不合格；检验项目中任一项或一项以上不合格，判定为被抽查产品不合格。</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当被检样品明示的质量要求优于监督抽查实施细则中依据的标准要求时，应按被检样品明示的质量要求判定。</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当被检样品明示的质量要求劣于或不包含监督抽查实施细则中依据的强制性标准要求时，应按照强制性标准要求判定。</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当被检样品明示的质量要求劣于或包含监督抽查实施细则中依据的推荐性标准要求时，应以被检样品明示的质量要求判定，</w:t>
      </w:r>
      <w:proofErr w:type="gramStart"/>
      <w:r>
        <w:rPr>
          <w:rFonts w:asciiTheme="minorEastAsia" w:eastAsiaTheme="minorEastAsia" w:hAnsiTheme="minorEastAsia" w:cstheme="minorEastAsia" w:hint="eastAsia"/>
          <w:color w:val="000000"/>
          <w:sz w:val="21"/>
          <w:szCs w:val="21"/>
        </w:rPr>
        <w:t>如相应</w:t>
      </w:r>
      <w:proofErr w:type="gramEnd"/>
      <w:r>
        <w:rPr>
          <w:rFonts w:asciiTheme="minorEastAsia" w:eastAsiaTheme="minorEastAsia" w:hAnsiTheme="minorEastAsia" w:cstheme="minorEastAsia" w:hint="eastAsia"/>
          <w:color w:val="000000"/>
          <w:sz w:val="21"/>
          <w:szCs w:val="21"/>
        </w:rPr>
        <w:t>检验结果不符合相关推荐性标准要求时，应在检验报告中予以说明。</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当被检样品明示的质量要求不包含监督抽查实施细则中依据的推荐性标准要求时，该指标不参与判定，但应在检验报告中</w:t>
      </w:r>
      <w:proofErr w:type="gramStart"/>
      <w:r>
        <w:rPr>
          <w:rFonts w:asciiTheme="minorEastAsia" w:eastAsiaTheme="minorEastAsia" w:hAnsiTheme="minorEastAsia" w:cstheme="minorEastAsia" w:hint="eastAsia"/>
          <w:color w:val="000000"/>
          <w:sz w:val="21"/>
          <w:szCs w:val="21"/>
        </w:rPr>
        <w:t>作出</w:t>
      </w:r>
      <w:proofErr w:type="gramEnd"/>
      <w:r>
        <w:rPr>
          <w:rFonts w:asciiTheme="minorEastAsia" w:eastAsiaTheme="minorEastAsia" w:hAnsiTheme="minorEastAsia" w:cstheme="minorEastAsia" w:hint="eastAsia"/>
          <w:color w:val="000000"/>
          <w:sz w:val="21"/>
          <w:szCs w:val="21"/>
        </w:rPr>
        <w:t>说明。</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lastRenderedPageBreak/>
        <w:t>当被检样品未能提供有效的企业标准时，按相关国家或行业标准进行判定。</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Theme="minorEastAsia" w:eastAsiaTheme="minorEastAsia" w:hAnsiTheme="minorEastAsia" w:cstheme="minorEastAsia" w:hint="eastAsia"/>
          <w:color w:val="000000"/>
          <w:sz w:val="21"/>
          <w:szCs w:val="21"/>
        </w:rPr>
        <w:t>作出</w:t>
      </w:r>
      <w:proofErr w:type="gramEnd"/>
      <w:r>
        <w:rPr>
          <w:rFonts w:asciiTheme="minorEastAsia" w:eastAsiaTheme="minorEastAsia" w:hAnsiTheme="minorEastAsia" w:cstheme="minorEastAsia" w:hint="eastAsia"/>
          <w:color w:val="000000"/>
          <w:sz w:val="21"/>
          <w:szCs w:val="21"/>
        </w:rPr>
        <w:t>相关说明。</w:t>
      </w:r>
    </w:p>
    <w:p w:rsidR="007A2753" w:rsidRDefault="00D168E5" w:rsidP="0096795B">
      <w:pPr>
        <w:spacing w:line="360" w:lineRule="auto"/>
        <w:ind w:firstLineChars="200" w:firstLine="42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按照产品质量相关法律法规的规定判定。</w:t>
      </w:r>
    </w:p>
    <w:p w:rsidR="007A2753" w:rsidRDefault="00D168E5" w:rsidP="0096795B">
      <w:pPr>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检验中发现因样品失效或者其他原因致使检验无法进行的，检验人员应如实记录，并提供相关证明材料，报送组织监督抽查的市场监管部门。</w:t>
      </w:r>
    </w:p>
    <w:sectPr w:rsidR="007A27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EE" w:rsidRDefault="007260EE" w:rsidP="007260EE">
      <w:r>
        <w:separator/>
      </w:r>
    </w:p>
  </w:endnote>
  <w:endnote w:type="continuationSeparator" w:id="0">
    <w:p w:rsidR="007260EE" w:rsidRDefault="007260EE" w:rsidP="0072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EE" w:rsidRDefault="007260EE" w:rsidP="007260EE">
      <w:r>
        <w:separator/>
      </w:r>
    </w:p>
  </w:footnote>
  <w:footnote w:type="continuationSeparator" w:id="0">
    <w:p w:rsidR="007260EE" w:rsidRDefault="007260EE" w:rsidP="00726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18"/>
    <w:rsid w:val="000961F5"/>
    <w:rsid w:val="000A7EC5"/>
    <w:rsid w:val="0012749B"/>
    <w:rsid w:val="001474DF"/>
    <w:rsid w:val="001600FA"/>
    <w:rsid w:val="00277C9A"/>
    <w:rsid w:val="002C12AC"/>
    <w:rsid w:val="002D6D18"/>
    <w:rsid w:val="003D2994"/>
    <w:rsid w:val="00414704"/>
    <w:rsid w:val="0044492B"/>
    <w:rsid w:val="00467936"/>
    <w:rsid w:val="00470426"/>
    <w:rsid w:val="004B29E4"/>
    <w:rsid w:val="004B49B0"/>
    <w:rsid w:val="00502CFB"/>
    <w:rsid w:val="00540A64"/>
    <w:rsid w:val="00555154"/>
    <w:rsid w:val="00610B9E"/>
    <w:rsid w:val="00610DFE"/>
    <w:rsid w:val="006771F2"/>
    <w:rsid w:val="0069648E"/>
    <w:rsid w:val="006B3BC8"/>
    <w:rsid w:val="007260EE"/>
    <w:rsid w:val="00727B27"/>
    <w:rsid w:val="00732D2D"/>
    <w:rsid w:val="007A2753"/>
    <w:rsid w:val="007D45FB"/>
    <w:rsid w:val="008475D5"/>
    <w:rsid w:val="0096795B"/>
    <w:rsid w:val="00A37A1D"/>
    <w:rsid w:val="00A55B82"/>
    <w:rsid w:val="00B4019A"/>
    <w:rsid w:val="00BC467C"/>
    <w:rsid w:val="00BF14B9"/>
    <w:rsid w:val="00D168E5"/>
    <w:rsid w:val="00D3628F"/>
    <w:rsid w:val="00D45095"/>
    <w:rsid w:val="00D75BE5"/>
    <w:rsid w:val="00D85778"/>
    <w:rsid w:val="00DC4A95"/>
    <w:rsid w:val="00E157AB"/>
    <w:rsid w:val="00E56E07"/>
    <w:rsid w:val="00EE1463"/>
    <w:rsid w:val="00F31025"/>
    <w:rsid w:val="024216D2"/>
    <w:rsid w:val="3773530F"/>
    <w:rsid w:val="69F16DC1"/>
    <w:rsid w:val="6CD6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Times New Roman" w:eastAsia="仿宋_GB2312"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Times New Roman" w:eastAsia="仿宋_GB2312"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徐杰</dc:creator>
  <cp:lastModifiedBy>XJ</cp:lastModifiedBy>
  <cp:revision>6</cp:revision>
  <dcterms:created xsi:type="dcterms:W3CDTF">2023-05-12T07:56:00Z</dcterms:created>
  <dcterms:modified xsi:type="dcterms:W3CDTF">2024-06-03T00:43:00Z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