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BB" w:rsidRDefault="005772BB" w:rsidP="005772BB">
      <w:pPr>
        <w:widowControl/>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开平市</w:t>
      </w:r>
      <w:r w:rsidRPr="005772BB">
        <w:rPr>
          <w:rFonts w:ascii="方正小标宋简体" w:eastAsia="方正小标宋简体" w:hAnsi="方正小标宋简体" w:cs="方正小标宋简体" w:hint="eastAsia"/>
          <w:bCs/>
          <w:sz w:val="44"/>
          <w:szCs w:val="44"/>
        </w:rPr>
        <w:t>玩具产品质量监督抽查实施细则</w:t>
      </w:r>
    </w:p>
    <w:p w:rsidR="005772BB" w:rsidRPr="005772BB" w:rsidRDefault="005772BB" w:rsidP="005772BB">
      <w:pPr>
        <w:widowControl/>
        <w:spacing w:line="600" w:lineRule="exact"/>
        <w:jc w:val="center"/>
        <w:rPr>
          <w:rFonts w:ascii="Times New Roman" w:eastAsia="方正小标宋简体" w:hAnsi="Times New Roman" w:cs="方正小标宋简体"/>
          <w:bCs/>
          <w:sz w:val="32"/>
          <w:szCs w:val="32"/>
        </w:rPr>
      </w:pPr>
      <w:r>
        <w:rPr>
          <w:rFonts w:ascii="方正小标宋简体" w:eastAsia="方正小标宋简体" w:hAnsi="方正小标宋简体" w:cs="方正小标宋简体" w:hint="eastAsia"/>
          <w:bCs/>
          <w:sz w:val="44"/>
          <w:szCs w:val="44"/>
        </w:rPr>
        <w:t>（2024年版）</w:t>
      </w:r>
    </w:p>
    <w:p w:rsidR="00DB02AE" w:rsidRDefault="00DB02AE" w:rsidP="00DB02AE">
      <w:pPr>
        <w:ind w:firstLineChars="200" w:firstLine="480"/>
        <w:rPr>
          <w:rFonts w:ascii="黑体" w:eastAsia="黑体" w:hAnsi="黑体" w:cs="Courier New" w:hint="eastAsia"/>
          <w:sz w:val="24"/>
          <w:szCs w:val="24"/>
        </w:rPr>
      </w:pPr>
    </w:p>
    <w:p w:rsidR="005772BB" w:rsidRPr="005772BB" w:rsidRDefault="005772BB" w:rsidP="00DB02AE">
      <w:pPr>
        <w:ind w:firstLineChars="200" w:firstLine="480"/>
        <w:rPr>
          <w:rFonts w:ascii="黑体" w:eastAsia="黑体" w:hAnsi="黑体" w:cs="Courier New"/>
          <w:sz w:val="24"/>
          <w:szCs w:val="24"/>
        </w:rPr>
      </w:pPr>
      <w:r w:rsidRPr="005772BB">
        <w:rPr>
          <w:rFonts w:ascii="黑体" w:eastAsia="黑体" w:hAnsi="黑体" w:cs="Courier New" w:hint="eastAsia"/>
          <w:sz w:val="24"/>
          <w:szCs w:val="24"/>
        </w:rPr>
        <w:t>一、抽样方法</w:t>
      </w:r>
    </w:p>
    <w:p w:rsidR="005772BB" w:rsidRPr="00585C12" w:rsidRDefault="005772BB" w:rsidP="00585C12">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585C12">
        <w:rPr>
          <w:rFonts w:ascii="仿宋_GB2312" w:eastAsia="仿宋_GB2312" w:hAnsi="Times New Roman" w:cs="Times New Roman"/>
          <w:bCs/>
          <w:sz w:val="24"/>
          <w:szCs w:val="24"/>
        </w:rPr>
        <w:t>以随机抽样的方式在被抽样经营者的待销产品中抽取。随机数一般可使用随机数表等方法产生。</w:t>
      </w:r>
    </w:p>
    <w:p w:rsidR="007A348F" w:rsidRDefault="005772BB" w:rsidP="00E100AA">
      <w:pPr>
        <w:adjustRightInd w:val="0"/>
        <w:snapToGrid w:val="0"/>
        <w:spacing w:beforeLines="10" w:before="31" w:afterLines="10" w:after="31" w:line="440" w:lineRule="exact"/>
        <w:ind w:firstLineChars="200" w:firstLine="480"/>
        <w:rPr>
          <w:rFonts w:ascii="Times New Roman" w:eastAsia="黑体" w:hAnsi="Times New Roman" w:cs="黑体" w:hint="eastAsia"/>
          <w:sz w:val="24"/>
          <w:szCs w:val="24"/>
        </w:rPr>
      </w:pPr>
      <w:r w:rsidRPr="00585C12">
        <w:rPr>
          <w:rFonts w:ascii="仿宋_GB2312" w:eastAsia="仿宋_GB2312" w:hAnsi="Times New Roman" w:cs="Times New Roman"/>
          <w:bCs/>
          <w:sz w:val="24"/>
          <w:szCs w:val="24"/>
        </w:rPr>
        <w:t>每款产品抽取</w:t>
      </w:r>
      <w:r w:rsidRPr="00585C12">
        <w:rPr>
          <w:rFonts w:ascii="仿宋_GB2312" w:eastAsia="仿宋_GB2312" w:hAnsi="Times New Roman" w:cs="Times New Roman" w:hint="eastAsia"/>
          <w:bCs/>
          <w:sz w:val="24"/>
          <w:szCs w:val="24"/>
        </w:rPr>
        <w:t>2</w:t>
      </w:r>
      <w:r w:rsidRPr="00585C12">
        <w:rPr>
          <w:rFonts w:ascii="仿宋_GB2312" w:eastAsia="仿宋_GB2312" w:hAnsi="Times New Roman" w:cs="Times New Roman"/>
          <w:bCs/>
          <w:sz w:val="24"/>
          <w:szCs w:val="24"/>
        </w:rPr>
        <w:t>组样本，第1组用于检验，第2组用于备样。第1组抽取数量为2个，第2组抽取数量为1个。</w:t>
      </w:r>
    </w:p>
    <w:p w:rsidR="00E100AA" w:rsidRDefault="00E100AA" w:rsidP="00E100AA">
      <w:pPr>
        <w:ind w:firstLineChars="200" w:firstLine="480"/>
        <w:rPr>
          <w:rFonts w:ascii="Times New Roman" w:eastAsia="黑体" w:hAnsi="Times New Roman" w:cs="黑体" w:hint="eastAsia"/>
          <w:sz w:val="24"/>
          <w:szCs w:val="24"/>
        </w:rPr>
      </w:pPr>
    </w:p>
    <w:p w:rsidR="005772BB" w:rsidRDefault="005772BB" w:rsidP="00E100AA">
      <w:pPr>
        <w:ind w:firstLineChars="200" w:firstLine="480"/>
        <w:rPr>
          <w:rFonts w:ascii="Times New Roman" w:eastAsia="黑体" w:hAnsi="Times New Roman" w:cs="黑体"/>
          <w:sz w:val="24"/>
          <w:szCs w:val="24"/>
        </w:rPr>
      </w:pPr>
      <w:r w:rsidRPr="005772BB">
        <w:rPr>
          <w:rFonts w:ascii="Times New Roman" w:eastAsia="黑体" w:hAnsi="Times New Roman" w:cs="黑体" w:hint="eastAsia"/>
          <w:sz w:val="24"/>
          <w:szCs w:val="24"/>
        </w:rPr>
        <w:t>二、主要检验项目及检验项目属性划分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2338"/>
        <w:gridCol w:w="1842"/>
        <w:gridCol w:w="711"/>
        <w:gridCol w:w="852"/>
        <w:gridCol w:w="709"/>
        <w:gridCol w:w="852"/>
        <w:gridCol w:w="753"/>
      </w:tblGrid>
      <w:tr w:rsidR="007A348F" w:rsidRPr="007A348F" w:rsidTr="007A348F">
        <w:trPr>
          <w:cantSplit/>
          <w:trHeight w:val="340"/>
          <w:tblHeader/>
          <w:jc w:val="center"/>
        </w:trPr>
        <w:tc>
          <w:tcPr>
            <w:tcW w:w="272" w:type="pct"/>
            <w:vAlign w:val="center"/>
          </w:tcPr>
          <w:p w:rsidR="000F4119" w:rsidRPr="007A348F" w:rsidRDefault="000F4119" w:rsidP="000F4119">
            <w:pPr>
              <w:jc w:val="center"/>
              <w:rPr>
                <w:rFonts w:ascii="Times New Roman" w:eastAsia="宋体" w:hAnsi="Times New Roman" w:cs="Times New Roman"/>
                <w:b/>
                <w:szCs w:val="21"/>
              </w:rPr>
            </w:pPr>
            <w:r w:rsidRPr="007A348F">
              <w:rPr>
                <w:rFonts w:ascii="Times New Roman" w:eastAsia="宋体" w:hAnsi="Times New Roman" w:cs="Times New Roman"/>
                <w:b/>
                <w:szCs w:val="21"/>
              </w:rPr>
              <w:t>序号</w:t>
            </w:r>
          </w:p>
        </w:tc>
        <w:tc>
          <w:tcPr>
            <w:tcW w:w="1372" w:type="pct"/>
            <w:vAlign w:val="center"/>
          </w:tcPr>
          <w:p w:rsidR="000F4119" w:rsidRPr="007A348F" w:rsidRDefault="000F4119" w:rsidP="000F4119">
            <w:pPr>
              <w:jc w:val="center"/>
              <w:rPr>
                <w:rFonts w:ascii="Times New Roman" w:eastAsia="宋体" w:hAnsi="Times New Roman" w:cs="Times New Roman"/>
                <w:b/>
                <w:szCs w:val="21"/>
              </w:rPr>
            </w:pPr>
            <w:r w:rsidRPr="007A348F">
              <w:rPr>
                <w:rFonts w:ascii="Times New Roman" w:eastAsia="宋体" w:hAnsi="Times New Roman" w:cs="Times New Roman"/>
                <w:b/>
                <w:szCs w:val="21"/>
              </w:rPr>
              <w:t>检验项目</w:t>
            </w:r>
          </w:p>
        </w:tc>
        <w:tc>
          <w:tcPr>
            <w:tcW w:w="1081" w:type="pct"/>
            <w:vAlign w:val="center"/>
          </w:tcPr>
          <w:p w:rsidR="000F4119" w:rsidRPr="007A348F" w:rsidRDefault="000F4119" w:rsidP="000F4119">
            <w:pPr>
              <w:jc w:val="center"/>
              <w:rPr>
                <w:rFonts w:ascii="Times New Roman" w:eastAsia="宋体" w:hAnsi="Times New Roman" w:cs="Times New Roman"/>
                <w:b/>
                <w:szCs w:val="21"/>
              </w:rPr>
            </w:pPr>
            <w:r w:rsidRPr="007A348F">
              <w:rPr>
                <w:rFonts w:ascii="Times New Roman" w:eastAsia="宋体" w:hAnsi="Times New Roman" w:cs="Times New Roman"/>
                <w:b/>
                <w:szCs w:val="21"/>
              </w:rPr>
              <w:t>检验方法</w:t>
            </w:r>
          </w:p>
        </w:tc>
        <w:tc>
          <w:tcPr>
            <w:tcW w:w="417" w:type="pct"/>
            <w:vAlign w:val="center"/>
          </w:tcPr>
          <w:p w:rsidR="000F4119" w:rsidRPr="007A348F" w:rsidRDefault="000F4119" w:rsidP="00623904">
            <w:pPr>
              <w:adjustRightInd w:val="0"/>
              <w:snapToGrid w:val="0"/>
              <w:spacing w:line="340" w:lineRule="exact"/>
              <w:jc w:val="center"/>
              <w:rPr>
                <w:rFonts w:ascii="仿宋_GB2312" w:eastAsia="仿宋_GB2312" w:hAnsi="仿宋_GB2312" w:cs="仿宋_GB2312"/>
                <w:b/>
                <w:bCs/>
                <w:sz w:val="24"/>
                <w:szCs w:val="24"/>
              </w:rPr>
            </w:pPr>
            <w:r w:rsidRPr="007A348F">
              <w:rPr>
                <w:rFonts w:ascii="仿宋_GB2312" w:eastAsia="仿宋_GB2312" w:hAnsi="仿宋_GB2312" w:cs="仿宋_GB2312" w:hint="eastAsia"/>
                <w:b/>
                <w:bCs/>
                <w:sz w:val="24"/>
                <w:szCs w:val="24"/>
              </w:rPr>
              <w:t>强制性</w:t>
            </w:r>
          </w:p>
        </w:tc>
        <w:tc>
          <w:tcPr>
            <w:tcW w:w="500" w:type="pct"/>
            <w:vAlign w:val="center"/>
          </w:tcPr>
          <w:p w:rsidR="000F4119" w:rsidRPr="007A348F" w:rsidRDefault="000F4119" w:rsidP="00623904">
            <w:pPr>
              <w:adjustRightInd w:val="0"/>
              <w:snapToGrid w:val="0"/>
              <w:spacing w:line="340" w:lineRule="exact"/>
              <w:jc w:val="center"/>
              <w:rPr>
                <w:rFonts w:ascii="仿宋_GB2312" w:eastAsia="仿宋_GB2312" w:hAnsi="仿宋_GB2312" w:cs="仿宋_GB2312"/>
                <w:b/>
                <w:bCs/>
                <w:sz w:val="24"/>
                <w:szCs w:val="24"/>
              </w:rPr>
            </w:pPr>
            <w:r w:rsidRPr="007A348F">
              <w:rPr>
                <w:rFonts w:ascii="仿宋_GB2312" w:eastAsia="仿宋_GB2312" w:hAnsi="仿宋_GB2312" w:cs="仿宋_GB2312" w:hint="eastAsia"/>
                <w:b/>
                <w:bCs/>
                <w:sz w:val="24"/>
                <w:szCs w:val="24"/>
              </w:rPr>
              <w:t>非强制性</w:t>
            </w:r>
          </w:p>
        </w:tc>
        <w:tc>
          <w:tcPr>
            <w:tcW w:w="416" w:type="pct"/>
            <w:vAlign w:val="center"/>
          </w:tcPr>
          <w:p w:rsidR="000F4119" w:rsidRPr="007A348F" w:rsidRDefault="000F4119" w:rsidP="00623904">
            <w:pPr>
              <w:adjustRightInd w:val="0"/>
              <w:snapToGrid w:val="0"/>
              <w:spacing w:line="340" w:lineRule="exact"/>
              <w:jc w:val="center"/>
              <w:rPr>
                <w:rFonts w:ascii="仿宋_GB2312" w:eastAsia="仿宋_GB2312" w:hAnsi="仿宋_GB2312" w:cs="仿宋_GB2312"/>
                <w:b/>
                <w:bCs/>
                <w:sz w:val="24"/>
                <w:szCs w:val="24"/>
              </w:rPr>
            </w:pPr>
            <w:r w:rsidRPr="007A348F">
              <w:rPr>
                <w:rFonts w:ascii="仿宋_GB2312" w:eastAsia="仿宋_GB2312" w:hAnsi="仿宋_GB2312" w:cs="仿宋_GB2312" w:hint="eastAsia"/>
                <w:b/>
                <w:bCs/>
                <w:sz w:val="24"/>
                <w:szCs w:val="24"/>
              </w:rPr>
              <w:t>重要项</w:t>
            </w:r>
          </w:p>
        </w:tc>
        <w:tc>
          <w:tcPr>
            <w:tcW w:w="500" w:type="pct"/>
            <w:vAlign w:val="center"/>
          </w:tcPr>
          <w:p w:rsidR="000F4119" w:rsidRPr="007A348F" w:rsidRDefault="000F4119" w:rsidP="00623904">
            <w:pPr>
              <w:adjustRightInd w:val="0"/>
              <w:snapToGrid w:val="0"/>
              <w:spacing w:line="340" w:lineRule="exact"/>
              <w:jc w:val="center"/>
              <w:rPr>
                <w:rFonts w:ascii="仿宋_GB2312" w:eastAsia="仿宋_GB2312" w:hAnsi="仿宋_GB2312" w:cs="仿宋_GB2312"/>
                <w:b/>
                <w:bCs/>
                <w:sz w:val="24"/>
                <w:szCs w:val="24"/>
              </w:rPr>
            </w:pPr>
            <w:r w:rsidRPr="007A348F">
              <w:rPr>
                <w:rFonts w:ascii="仿宋_GB2312" w:eastAsia="仿宋_GB2312" w:hAnsi="仿宋_GB2312" w:cs="仿宋_GB2312" w:hint="eastAsia"/>
                <w:b/>
                <w:bCs/>
                <w:sz w:val="24"/>
                <w:szCs w:val="24"/>
              </w:rPr>
              <w:t>较重要项</w:t>
            </w:r>
          </w:p>
        </w:tc>
        <w:tc>
          <w:tcPr>
            <w:tcW w:w="442" w:type="pct"/>
            <w:vAlign w:val="center"/>
          </w:tcPr>
          <w:p w:rsidR="000F4119" w:rsidRPr="007A348F" w:rsidRDefault="000F4119" w:rsidP="00623904">
            <w:pPr>
              <w:adjustRightInd w:val="0"/>
              <w:snapToGrid w:val="0"/>
              <w:spacing w:line="340" w:lineRule="exact"/>
              <w:jc w:val="center"/>
              <w:rPr>
                <w:rFonts w:ascii="仿宋_GB2312" w:eastAsia="仿宋_GB2312" w:hAnsi="仿宋_GB2312" w:cs="仿宋_GB2312"/>
                <w:b/>
                <w:bCs/>
                <w:sz w:val="24"/>
                <w:szCs w:val="24"/>
              </w:rPr>
            </w:pPr>
            <w:r w:rsidRPr="007A348F">
              <w:rPr>
                <w:rFonts w:ascii="仿宋_GB2312" w:eastAsia="仿宋_GB2312" w:hAnsi="仿宋_GB2312" w:cs="仿宋_GB2312" w:hint="eastAsia"/>
                <w:b/>
                <w:bCs/>
                <w:sz w:val="24"/>
                <w:szCs w:val="24"/>
              </w:rPr>
              <w:t>次要项</w:t>
            </w:r>
          </w:p>
        </w:tc>
      </w:tr>
      <w:tr w:rsidR="000F4119" w:rsidRPr="000F4119" w:rsidTr="007A348F">
        <w:trPr>
          <w:cantSplit/>
          <w:trHeight w:val="340"/>
          <w:jc w:val="center"/>
        </w:trPr>
        <w:tc>
          <w:tcPr>
            <w:tcW w:w="5000" w:type="pct"/>
            <w:gridSpan w:val="8"/>
          </w:tcPr>
          <w:p w:rsidR="000F4119" w:rsidRPr="000F4119" w:rsidRDefault="000F4119" w:rsidP="000F4119">
            <w:pPr>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一、机械与物理性能（正常使用）</w:t>
            </w: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材料</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vAlign w:val="center"/>
          </w:tcPr>
          <w:p w:rsidR="000F4119" w:rsidRPr="005772BB" w:rsidRDefault="000F4119" w:rsidP="00623904">
            <w:pPr>
              <w:spacing w:line="340" w:lineRule="exact"/>
              <w:jc w:val="center"/>
              <w:rPr>
                <w:rFonts w:ascii="仿宋_GB2312" w:eastAsia="仿宋_GB2312" w:hAnsi="仿宋_GB2312" w:cs="仿宋_GB2312"/>
                <w:sz w:val="24"/>
                <w:szCs w:val="24"/>
              </w:rPr>
            </w:pPr>
            <w:r w:rsidRPr="005772BB">
              <w:rPr>
                <w:rFonts w:ascii="仿宋_GB2312" w:eastAsia="仿宋_GB2312" w:hAnsi="仿宋_GB2312" w:cs="仿宋_GB2312" w:hint="eastAsia"/>
                <w:sz w:val="24"/>
                <w:szCs w:val="24"/>
              </w:rPr>
              <w:t>●</w:t>
            </w:r>
          </w:p>
        </w:tc>
        <w:tc>
          <w:tcPr>
            <w:tcW w:w="500" w:type="pct"/>
            <w:vAlign w:val="center"/>
          </w:tcPr>
          <w:p w:rsidR="000F4119" w:rsidRPr="005772BB" w:rsidRDefault="000F4119" w:rsidP="00623904">
            <w:pPr>
              <w:spacing w:line="340" w:lineRule="exact"/>
              <w:jc w:val="center"/>
              <w:rPr>
                <w:rFonts w:ascii="仿宋_GB2312" w:eastAsia="仿宋_GB2312" w:hAnsi="仿宋_GB2312" w:cs="仿宋_GB2312"/>
                <w:sz w:val="24"/>
                <w:szCs w:val="24"/>
              </w:rPr>
            </w:pPr>
          </w:p>
        </w:tc>
        <w:tc>
          <w:tcPr>
            <w:tcW w:w="416" w:type="pct"/>
            <w:vAlign w:val="center"/>
          </w:tcPr>
          <w:p w:rsidR="000F4119" w:rsidRPr="005772BB" w:rsidRDefault="000F4119" w:rsidP="00623904">
            <w:pPr>
              <w:spacing w:line="340" w:lineRule="exact"/>
              <w:jc w:val="center"/>
              <w:rPr>
                <w:rFonts w:ascii="仿宋_GB2312" w:eastAsia="仿宋_GB2312" w:hAnsi="仿宋_GB2312" w:cs="仿宋_GB2312"/>
                <w:sz w:val="24"/>
                <w:szCs w:val="24"/>
              </w:rPr>
            </w:pPr>
          </w:p>
        </w:tc>
        <w:tc>
          <w:tcPr>
            <w:tcW w:w="500" w:type="pct"/>
            <w:vAlign w:val="center"/>
          </w:tcPr>
          <w:p w:rsidR="000F4119" w:rsidRPr="005772BB" w:rsidRDefault="000F4119" w:rsidP="00623904">
            <w:pPr>
              <w:spacing w:line="340" w:lineRule="exact"/>
              <w:jc w:val="center"/>
              <w:rPr>
                <w:rFonts w:ascii="仿宋_GB2312" w:eastAsia="仿宋_GB2312" w:hAnsi="仿宋_GB2312" w:cs="仿宋_GB2312"/>
                <w:sz w:val="24"/>
                <w:szCs w:val="24"/>
              </w:rPr>
            </w:pPr>
            <w:r w:rsidRPr="005772BB">
              <w:rPr>
                <w:rFonts w:ascii="仿宋_GB2312" w:eastAsia="仿宋_GB2312" w:hAnsi="仿宋_GB2312" w:cs="仿宋_GB2312" w:hint="eastAsia"/>
                <w:sz w:val="24"/>
                <w:szCs w:val="24"/>
              </w:rPr>
              <w:t>●</w:t>
            </w: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小零件</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0F4119">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0F4119">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挤压玩具、摇铃及类似玩具</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0F4119">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0F4119">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4</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小球</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0F4119">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0F4119">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5</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毛球</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0F4119">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0F4119">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6</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学前玩偶</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7</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玩具奶嘴</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8</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气球</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9</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弹珠</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10</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半球形玩具</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11</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可触及的金属或玻璃边缘</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12</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功能性锐利边缘</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bookmarkStart w:id="0" w:name="_Hlk28281258"/>
            <w:r w:rsidRPr="000F4119">
              <w:rPr>
                <w:rFonts w:ascii="Times New Roman" w:eastAsia="宋体" w:hAnsi="Times New Roman" w:cs="Times New Roman"/>
                <w:bCs/>
                <w:kern w:val="0"/>
                <w:szCs w:val="21"/>
              </w:rPr>
              <w:t>13</w:t>
            </w:r>
          </w:p>
        </w:tc>
        <w:tc>
          <w:tcPr>
            <w:tcW w:w="1372" w:type="pct"/>
            <w:vAlign w:val="center"/>
          </w:tcPr>
          <w:p w:rsidR="000F4119" w:rsidRPr="000F4119" w:rsidRDefault="000F4119" w:rsidP="000F4119">
            <w:pPr>
              <w:spacing w:line="320" w:lineRule="exact"/>
              <w:rPr>
                <w:rFonts w:ascii="Times New Roman" w:eastAsia="宋体" w:hAnsi="Times New Roman" w:cs="Times New Roman"/>
                <w:bCs/>
                <w:szCs w:val="21"/>
              </w:rPr>
            </w:pPr>
            <w:r w:rsidRPr="000F4119">
              <w:rPr>
                <w:rFonts w:ascii="Times New Roman" w:eastAsia="宋体" w:hAnsi="Times New Roman" w:cs="Times New Roman"/>
                <w:bCs/>
                <w:kern w:val="0"/>
                <w:szCs w:val="21"/>
              </w:rPr>
              <w:t>金属玩具边缘</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bookmarkEnd w:id="0"/>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14</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模塑玩具边缘</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15</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外露螺栓或螺纹杆的边缘</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lastRenderedPageBreak/>
              <w:t>16</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可触及的锐利尖端</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17</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功能性锐利尖端</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18</w:t>
            </w:r>
          </w:p>
        </w:tc>
        <w:tc>
          <w:tcPr>
            <w:tcW w:w="1372" w:type="pct"/>
            <w:vAlign w:val="center"/>
          </w:tcPr>
          <w:p w:rsidR="000F4119" w:rsidRPr="000F4119" w:rsidRDefault="000F4119" w:rsidP="000F4119">
            <w:pPr>
              <w:spacing w:line="320" w:lineRule="exac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木制玩具</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19</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突出物</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20</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用于包装或玩具中的塑料袋或塑料薄膜</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21</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18</w:t>
            </w:r>
            <w:r w:rsidRPr="000F4119">
              <w:rPr>
                <w:rFonts w:ascii="Times New Roman" w:eastAsia="宋体" w:hAnsi="Times New Roman" w:cs="Times New Roman"/>
                <w:bCs/>
                <w:kern w:val="0"/>
                <w:szCs w:val="21"/>
              </w:rPr>
              <w:t>个月以下儿童使用的玩具上的绳索和弹性绳</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22</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18</w:t>
            </w:r>
            <w:r w:rsidRPr="000F4119">
              <w:rPr>
                <w:rFonts w:ascii="Times New Roman" w:eastAsia="宋体" w:hAnsi="Times New Roman" w:cs="Times New Roman"/>
                <w:bCs/>
                <w:kern w:val="0"/>
                <w:szCs w:val="21"/>
              </w:rPr>
              <w:t>个月以下儿童使用的玩具上的自回缩绳</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23</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36</w:t>
            </w:r>
            <w:r w:rsidRPr="000F4119">
              <w:rPr>
                <w:rFonts w:ascii="Times New Roman" w:eastAsia="宋体" w:hAnsi="Times New Roman" w:cs="Times New Roman"/>
                <w:bCs/>
                <w:kern w:val="0"/>
                <w:szCs w:val="21"/>
              </w:rPr>
              <w:t>个月以下儿童使用的拖拉玩具上的绳索或弹性绳</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24</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玩具袋上的绳索</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25</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铰链间隙</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26</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刚性材料上的圆孔</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27</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活动部件间的间隙</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28</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其他驱动机构</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29</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发条钥匙</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30</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弹簧</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31</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封闭头部的玩具</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32</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仿制防护玩具（头盔、帽子、护目镜）</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33</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弹射玩具一般要求</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34</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蓄能弹射玩具</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35</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非蓄能弹射玩具</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lastRenderedPageBreak/>
              <w:t>36</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水上玩具</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37</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液体填充玩具</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38</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proofErr w:type="gramStart"/>
            <w:r w:rsidRPr="000F4119">
              <w:rPr>
                <w:rFonts w:ascii="Times New Roman" w:eastAsia="宋体" w:hAnsi="Times New Roman" w:cs="Times New Roman"/>
                <w:bCs/>
                <w:szCs w:val="21"/>
              </w:rPr>
              <w:t>口动玩具</w:t>
            </w:r>
            <w:proofErr w:type="gramEnd"/>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39</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声响要求</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40</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磁体和磁性部件</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0F4119" w:rsidRPr="000F4119" w:rsidTr="007A348F">
        <w:trPr>
          <w:cantSplit/>
          <w:trHeight w:val="340"/>
          <w:jc w:val="center"/>
        </w:trPr>
        <w:tc>
          <w:tcPr>
            <w:tcW w:w="5000" w:type="pct"/>
            <w:gridSpan w:val="8"/>
          </w:tcPr>
          <w:p w:rsidR="000F4119" w:rsidRPr="000F4119" w:rsidRDefault="000F4119" w:rsidP="000F4119">
            <w:pPr>
              <w:jc w:val="left"/>
              <w:rPr>
                <w:rFonts w:ascii="Times New Roman" w:eastAsia="宋体" w:hAnsi="Times New Roman" w:cs="Times New Roman"/>
                <w:bCs/>
                <w:szCs w:val="21"/>
              </w:rPr>
            </w:pPr>
            <w:r w:rsidRPr="000F4119">
              <w:rPr>
                <w:rFonts w:ascii="Times New Roman" w:eastAsia="宋体" w:hAnsi="Times New Roman" w:cs="Times New Roman"/>
                <w:bCs/>
                <w:szCs w:val="21"/>
              </w:rPr>
              <w:t>二、机械与物理性能（可预见的合理滥用）</w:t>
            </w: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小零件</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2</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 w:val="20"/>
                <w:szCs w:val="21"/>
              </w:rPr>
              <w:t>小球</w:t>
            </w:r>
          </w:p>
        </w:tc>
        <w:tc>
          <w:tcPr>
            <w:tcW w:w="1081" w:type="pct"/>
            <w:vAlign w:val="center"/>
          </w:tcPr>
          <w:p w:rsidR="000F4119" w:rsidRPr="000F4119" w:rsidRDefault="000F4119" w:rsidP="000F4119">
            <w:pPr>
              <w:jc w:val="center"/>
              <w:rPr>
                <w:rFonts w:ascii="Times New Roman" w:eastAsia="宋体" w:hAnsi="Times New Roman" w:cs="Times New Roman"/>
                <w:bCs/>
                <w:szCs w:val="21"/>
              </w:rPr>
            </w:pPr>
            <w:r w:rsidRPr="000F4119">
              <w:rPr>
                <w:rFonts w:ascii="Times New Roman" w:eastAsia="宋体" w:hAnsi="Times New Roman" w:cs="Times New Roman"/>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szCs w:val="21"/>
              </w:rPr>
            </w:pPr>
          </w:p>
        </w:tc>
        <w:tc>
          <w:tcPr>
            <w:tcW w:w="442" w:type="pct"/>
          </w:tcPr>
          <w:p w:rsidR="000F4119" w:rsidRPr="000F4119" w:rsidRDefault="000F4119" w:rsidP="000F4119">
            <w:pPr>
              <w:jc w:val="center"/>
              <w:rPr>
                <w:rFonts w:ascii="Times New Roman" w:eastAsia="宋体" w:hAnsi="Times New Roman" w:cs="Times New Roman"/>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 w:val="20"/>
                <w:szCs w:val="21"/>
              </w:rPr>
              <w:t>毛球</w:t>
            </w:r>
          </w:p>
        </w:tc>
        <w:tc>
          <w:tcPr>
            <w:tcW w:w="1081" w:type="pct"/>
            <w:vAlign w:val="center"/>
          </w:tcPr>
          <w:p w:rsidR="000F4119" w:rsidRPr="000F4119" w:rsidRDefault="000F4119" w:rsidP="000F4119">
            <w:pPr>
              <w:jc w:val="center"/>
              <w:rPr>
                <w:rFonts w:ascii="Times New Roman" w:eastAsia="宋体" w:hAnsi="Times New Roman" w:cs="Times New Roman"/>
                <w:bCs/>
                <w:szCs w:val="21"/>
              </w:rPr>
            </w:pPr>
            <w:r w:rsidRPr="000F4119">
              <w:rPr>
                <w:rFonts w:ascii="Times New Roman" w:eastAsia="宋体" w:hAnsi="Times New Roman" w:cs="Times New Roman"/>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szCs w:val="21"/>
              </w:rPr>
            </w:pPr>
          </w:p>
        </w:tc>
        <w:tc>
          <w:tcPr>
            <w:tcW w:w="442" w:type="pct"/>
          </w:tcPr>
          <w:p w:rsidR="000F4119" w:rsidRPr="000F4119" w:rsidRDefault="000F4119" w:rsidP="000F4119">
            <w:pPr>
              <w:jc w:val="center"/>
              <w:rPr>
                <w:rFonts w:ascii="Times New Roman" w:eastAsia="宋体" w:hAnsi="Times New Roman" w:cs="Times New Roman"/>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4</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弹珠</w:t>
            </w:r>
          </w:p>
        </w:tc>
        <w:tc>
          <w:tcPr>
            <w:tcW w:w="1081" w:type="pct"/>
            <w:vAlign w:val="center"/>
          </w:tcPr>
          <w:p w:rsidR="000F4119" w:rsidRPr="000F4119" w:rsidRDefault="000F4119" w:rsidP="000F4119">
            <w:pPr>
              <w:jc w:val="center"/>
              <w:rPr>
                <w:rFonts w:ascii="Times New Roman" w:eastAsia="宋体" w:hAnsi="Times New Roman" w:cs="Times New Roman"/>
                <w:bCs/>
                <w:szCs w:val="21"/>
              </w:rPr>
            </w:pPr>
            <w:r w:rsidRPr="000F4119">
              <w:rPr>
                <w:rFonts w:ascii="Times New Roman" w:eastAsia="宋体" w:hAnsi="Times New Roman" w:cs="Times New Roman"/>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szCs w:val="21"/>
              </w:rPr>
            </w:pPr>
          </w:p>
        </w:tc>
        <w:tc>
          <w:tcPr>
            <w:tcW w:w="442" w:type="pct"/>
          </w:tcPr>
          <w:p w:rsidR="000F4119" w:rsidRPr="000F4119" w:rsidRDefault="000F4119" w:rsidP="000F4119">
            <w:pPr>
              <w:jc w:val="center"/>
              <w:rPr>
                <w:rFonts w:ascii="Times New Roman" w:eastAsia="宋体" w:hAnsi="Times New Roman" w:cs="Times New Roman"/>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5</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可触及的金属或玻璃边缘</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6</w:t>
            </w:r>
          </w:p>
        </w:tc>
        <w:tc>
          <w:tcPr>
            <w:tcW w:w="1372" w:type="pct"/>
            <w:vAlign w:val="center"/>
          </w:tcPr>
          <w:p w:rsidR="000F4119" w:rsidRPr="000F4119" w:rsidRDefault="000F4119" w:rsidP="000F4119">
            <w:pPr>
              <w:spacing w:line="320" w:lineRule="exact"/>
              <w:rPr>
                <w:rFonts w:ascii="Times New Roman" w:eastAsia="宋体" w:hAnsi="Times New Roman" w:cs="Times New Roman"/>
                <w:bCs/>
                <w:szCs w:val="21"/>
              </w:rPr>
            </w:pPr>
            <w:r w:rsidRPr="000F4119">
              <w:rPr>
                <w:rFonts w:ascii="Times New Roman" w:eastAsia="宋体" w:hAnsi="Times New Roman" w:cs="Times New Roman"/>
                <w:bCs/>
                <w:kern w:val="0"/>
                <w:szCs w:val="21"/>
              </w:rPr>
              <w:t>金属玩具边缘</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7</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模塑玩具边缘</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8</w:t>
            </w:r>
          </w:p>
        </w:tc>
        <w:tc>
          <w:tcPr>
            <w:tcW w:w="1372" w:type="pct"/>
            <w:vAlign w:val="center"/>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外露螺栓或螺纹杆的边缘</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9</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可触及的锐利尖端</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10</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突出物</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11</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金属丝和杆件</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 xml:space="preserve">GB 6675.2—2014 </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12</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刚性材料上的圆孔</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13</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活动部件间的间隙</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14</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其他驱动机构</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15</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发条钥匙</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16</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蓄能弹射玩具</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17</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非蓄能弹射玩具</w:t>
            </w:r>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18</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proofErr w:type="gramStart"/>
            <w:r w:rsidRPr="000F4119">
              <w:rPr>
                <w:rFonts w:ascii="Times New Roman" w:eastAsia="宋体" w:hAnsi="Times New Roman" w:cs="Times New Roman"/>
                <w:bCs/>
                <w:szCs w:val="21"/>
              </w:rPr>
              <w:t>口动玩具</w:t>
            </w:r>
            <w:proofErr w:type="gramEnd"/>
          </w:p>
        </w:tc>
        <w:tc>
          <w:tcPr>
            <w:tcW w:w="1081" w:type="pct"/>
            <w:vAlign w:val="center"/>
          </w:tcPr>
          <w:p w:rsidR="000F4119" w:rsidRPr="000F4119" w:rsidRDefault="000F4119" w:rsidP="000F4119">
            <w:pPr>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6675.2—2014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0F4119" w:rsidRPr="000F4119" w:rsidTr="007A348F">
        <w:trPr>
          <w:cantSplit/>
          <w:trHeight w:val="340"/>
          <w:jc w:val="center"/>
        </w:trPr>
        <w:tc>
          <w:tcPr>
            <w:tcW w:w="5000" w:type="pct"/>
            <w:gridSpan w:val="8"/>
          </w:tcPr>
          <w:p w:rsidR="000F4119" w:rsidRPr="000F4119" w:rsidRDefault="000F4119" w:rsidP="000F4119">
            <w:pPr>
              <w:widowControl/>
              <w:tabs>
                <w:tab w:val="left" w:pos="840"/>
              </w:tabs>
              <w:adjustRightInd w:val="0"/>
              <w:snapToGrid w:val="0"/>
              <w:jc w:val="left"/>
              <w:rPr>
                <w:rFonts w:ascii="Times New Roman" w:eastAsia="宋体" w:hAnsi="Times New Roman" w:cs="Times New Roman"/>
                <w:kern w:val="0"/>
                <w:szCs w:val="21"/>
              </w:rPr>
            </w:pPr>
            <w:r w:rsidRPr="000F4119">
              <w:rPr>
                <w:rFonts w:ascii="Times New Roman" w:eastAsia="宋体" w:hAnsi="Times New Roman" w:cs="Times New Roman"/>
                <w:bCs/>
                <w:kern w:val="0"/>
                <w:szCs w:val="21"/>
              </w:rPr>
              <w:t>三、易燃性能</w:t>
            </w: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一般要求</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6675.3—2014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lastRenderedPageBreak/>
              <w:t>2</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头戴玩具</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6675.3—2014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3</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化妆服饰</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6675.3—2014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4</w:t>
            </w:r>
          </w:p>
        </w:tc>
        <w:tc>
          <w:tcPr>
            <w:tcW w:w="1372" w:type="pct"/>
            <w:vAlign w:val="center"/>
          </w:tcPr>
          <w:p w:rsidR="000F4119" w:rsidRPr="000F4119" w:rsidRDefault="000F4119" w:rsidP="000F4119">
            <w:pPr>
              <w:spacing w:line="300" w:lineRule="exact"/>
              <w:rPr>
                <w:rFonts w:ascii="Times New Roman" w:eastAsia="宋体" w:hAnsi="Times New Roman" w:cs="Times New Roman"/>
                <w:bCs/>
                <w:szCs w:val="21"/>
              </w:rPr>
            </w:pPr>
            <w:r w:rsidRPr="000F4119">
              <w:rPr>
                <w:rFonts w:ascii="Times New Roman" w:eastAsia="宋体" w:hAnsi="Times New Roman" w:cs="Times New Roman"/>
                <w:bCs/>
                <w:szCs w:val="21"/>
              </w:rPr>
              <w:t>具有毛绒或纺织表面的软体填充玩具（动物和娃娃等）</w:t>
            </w:r>
          </w:p>
        </w:tc>
        <w:tc>
          <w:tcPr>
            <w:tcW w:w="1081" w:type="pct"/>
            <w:vAlign w:val="center"/>
          </w:tcPr>
          <w:p w:rsidR="000F4119" w:rsidRPr="000F4119" w:rsidRDefault="000F4119" w:rsidP="000F4119">
            <w:pPr>
              <w:jc w:val="center"/>
              <w:rPr>
                <w:rFonts w:ascii="Times New Roman" w:eastAsia="宋体" w:hAnsi="Times New Roman" w:cs="Times New Roman"/>
                <w:bCs/>
                <w:kern w:val="0"/>
                <w:szCs w:val="21"/>
              </w:rPr>
            </w:pPr>
            <w:r w:rsidRPr="000F4119">
              <w:rPr>
                <w:rFonts w:ascii="Times New Roman" w:eastAsia="宋体" w:hAnsi="Times New Roman" w:cs="Times New Roman"/>
                <w:kern w:val="0"/>
                <w:szCs w:val="21"/>
              </w:rPr>
              <w:t>GB 6675.3—2014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jc w:val="center"/>
              <w:rPr>
                <w:rFonts w:ascii="Times New Roman" w:eastAsia="宋体" w:hAnsi="Times New Roman" w:cs="Times New Roman"/>
                <w:kern w:val="0"/>
                <w:szCs w:val="21"/>
              </w:rPr>
            </w:pPr>
          </w:p>
        </w:tc>
        <w:tc>
          <w:tcPr>
            <w:tcW w:w="442" w:type="pct"/>
          </w:tcPr>
          <w:p w:rsidR="000F4119" w:rsidRPr="000F4119" w:rsidRDefault="000F4119" w:rsidP="000F4119">
            <w:pPr>
              <w:jc w:val="center"/>
              <w:rPr>
                <w:rFonts w:ascii="Times New Roman" w:eastAsia="宋体" w:hAnsi="Times New Roman" w:cs="Times New Roman"/>
                <w:kern w:val="0"/>
                <w:szCs w:val="21"/>
              </w:rPr>
            </w:pPr>
          </w:p>
        </w:tc>
      </w:tr>
      <w:tr w:rsidR="000F4119" w:rsidRPr="000F4119" w:rsidTr="007A348F">
        <w:trPr>
          <w:cantSplit/>
          <w:trHeight w:val="340"/>
          <w:jc w:val="center"/>
        </w:trPr>
        <w:tc>
          <w:tcPr>
            <w:tcW w:w="5000" w:type="pct"/>
            <w:gridSpan w:val="8"/>
          </w:tcPr>
          <w:p w:rsidR="000F4119" w:rsidRPr="000F4119" w:rsidRDefault="000F4119" w:rsidP="000F4119">
            <w:pPr>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四、特定元素的迁移</w:t>
            </w: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最大限量要求</w:t>
            </w:r>
          </w:p>
        </w:tc>
        <w:tc>
          <w:tcPr>
            <w:tcW w:w="1081"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GB 6675.4—2014</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spacing w:line="300" w:lineRule="auto"/>
              <w:jc w:val="center"/>
              <w:rPr>
                <w:rFonts w:ascii="Times New Roman" w:eastAsia="宋体" w:hAnsi="Times New Roman" w:cs="Times New Roman"/>
                <w:bCs/>
                <w:kern w:val="0"/>
                <w:szCs w:val="21"/>
              </w:rPr>
            </w:pPr>
          </w:p>
        </w:tc>
        <w:tc>
          <w:tcPr>
            <w:tcW w:w="442" w:type="pct"/>
          </w:tcPr>
          <w:p w:rsidR="000F4119" w:rsidRPr="000F4119" w:rsidRDefault="000F4119" w:rsidP="000F4119">
            <w:pPr>
              <w:spacing w:line="300" w:lineRule="auto"/>
              <w:jc w:val="center"/>
              <w:rPr>
                <w:rFonts w:ascii="Times New Roman" w:eastAsia="宋体" w:hAnsi="Times New Roman" w:cs="Times New Roman"/>
                <w:bCs/>
                <w:kern w:val="0"/>
                <w:szCs w:val="21"/>
              </w:rPr>
            </w:pPr>
          </w:p>
        </w:tc>
      </w:tr>
      <w:tr w:rsidR="000F4119" w:rsidRPr="000F4119" w:rsidTr="007A348F">
        <w:trPr>
          <w:cantSplit/>
          <w:trHeight w:val="340"/>
          <w:jc w:val="center"/>
        </w:trPr>
        <w:tc>
          <w:tcPr>
            <w:tcW w:w="2725" w:type="pct"/>
            <w:gridSpan w:val="3"/>
          </w:tcPr>
          <w:p w:rsidR="000F4119" w:rsidRPr="000F4119" w:rsidRDefault="000F4119" w:rsidP="000F4119">
            <w:pPr>
              <w:spacing w:line="300" w:lineRule="auto"/>
              <w:jc w:val="left"/>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五、增塑剂</w:t>
            </w:r>
          </w:p>
        </w:tc>
        <w:tc>
          <w:tcPr>
            <w:tcW w:w="417" w:type="pct"/>
          </w:tcPr>
          <w:p w:rsidR="000F4119" w:rsidRPr="000F4119" w:rsidRDefault="000F4119" w:rsidP="000F4119">
            <w:pPr>
              <w:spacing w:line="300" w:lineRule="auto"/>
              <w:jc w:val="left"/>
              <w:rPr>
                <w:rFonts w:ascii="Times New Roman" w:eastAsia="宋体" w:hAnsi="Times New Roman" w:cs="Times New Roman"/>
                <w:bCs/>
                <w:kern w:val="0"/>
                <w:szCs w:val="21"/>
              </w:rPr>
            </w:pPr>
          </w:p>
        </w:tc>
        <w:tc>
          <w:tcPr>
            <w:tcW w:w="500" w:type="pct"/>
          </w:tcPr>
          <w:p w:rsidR="000F4119" w:rsidRPr="000F4119" w:rsidRDefault="000F4119" w:rsidP="000F4119">
            <w:pPr>
              <w:spacing w:line="300" w:lineRule="auto"/>
              <w:jc w:val="left"/>
              <w:rPr>
                <w:rFonts w:ascii="Times New Roman" w:eastAsia="宋体" w:hAnsi="Times New Roman" w:cs="Times New Roman"/>
                <w:bCs/>
                <w:kern w:val="0"/>
                <w:szCs w:val="21"/>
              </w:rPr>
            </w:pPr>
          </w:p>
        </w:tc>
        <w:tc>
          <w:tcPr>
            <w:tcW w:w="416" w:type="pct"/>
          </w:tcPr>
          <w:p w:rsidR="000F4119" w:rsidRPr="000F4119" w:rsidRDefault="000F4119" w:rsidP="000F4119">
            <w:pPr>
              <w:spacing w:line="300" w:lineRule="auto"/>
              <w:jc w:val="left"/>
              <w:rPr>
                <w:rFonts w:ascii="Times New Roman" w:eastAsia="宋体" w:hAnsi="Times New Roman" w:cs="Times New Roman"/>
                <w:bCs/>
                <w:kern w:val="0"/>
                <w:szCs w:val="21"/>
              </w:rPr>
            </w:pPr>
          </w:p>
        </w:tc>
        <w:tc>
          <w:tcPr>
            <w:tcW w:w="500" w:type="pct"/>
          </w:tcPr>
          <w:p w:rsidR="000F4119" w:rsidRPr="000F4119" w:rsidRDefault="000F4119" w:rsidP="000F4119">
            <w:pPr>
              <w:spacing w:line="300" w:lineRule="auto"/>
              <w:jc w:val="left"/>
              <w:rPr>
                <w:rFonts w:ascii="Times New Roman" w:eastAsia="宋体" w:hAnsi="Times New Roman" w:cs="Times New Roman"/>
                <w:bCs/>
                <w:kern w:val="0"/>
                <w:szCs w:val="21"/>
              </w:rPr>
            </w:pPr>
          </w:p>
        </w:tc>
        <w:tc>
          <w:tcPr>
            <w:tcW w:w="442" w:type="pct"/>
          </w:tcPr>
          <w:p w:rsidR="000F4119" w:rsidRPr="000F4119" w:rsidRDefault="000F4119" w:rsidP="000F4119">
            <w:pPr>
              <w:spacing w:line="300" w:lineRule="auto"/>
              <w:jc w:val="left"/>
              <w:rPr>
                <w:rFonts w:ascii="Times New Roman" w:eastAsia="宋体" w:hAnsi="Times New Roman" w:cs="Times New Roman"/>
                <w:bCs/>
                <w:kern w:val="0"/>
                <w:szCs w:val="21"/>
              </w:rPr>
            </w:pPr>
          </w:p>
        </w:tc>
      </w:tr>
      <w:tr w:rsidR="007A348F" w:rsidRPr="000F4119" w:rsidTr="007A348F">
        <w:trPr>
          <w:cantSplit/>
          <w:trHeight w:val="340"/>
          <w:jc w:val="center"/>
        </w:trPr>
        <w:tc>
          <w:tcPr>
            <w:tcW w:w="272"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1</w:t>
            </w:r>
          </w:p>
        </w:tc>
        <w:tc>
          <w:tcPr>
            <w:tcW w:w="1372" w:type="pct"/>
            <w:vAlign w:val="center"/>
          </w:tcPr>
          <w:p w:rsidR="000F4119" w:rsidRPr="000F4119" w:rsidRDefault="000F4119" w:rsidP="000F4119">
            <w:pPr>
              <w:spacing w:line="300" w:lineRule="auto"/>
              <w:rPr>
                <w:rFonts w:ascii="Times New Roman" w:eastAsia="宋体" w:hAnsi="Times New Roman" w:cs="Times New Roman"/>
                <w:bCs/>
                <w:szCs w:val="21"/>
              </w:rPr>
            </w:pPr>
            <w:r w:rsidRPr="000F4119">
              <w:rPr>
                <w:rFonts w:ascii="Times New Roman" w:eastAsia="宋体" w:hAnsi="Times New Roman" w:cs="Times New Roman"/>
                <w:bCs/>
                <w:szCs w:val="21"/>
              </w:rPr>
              <w:t>限定增塑剂限量要求</w:t>
            </w:r>
          </w:p>
        </w:tc>
        <w:tc>
          <w:tcPr>
            <w:tcW w:w="1081" w:type="pct"/>
            <w:vAlign w:val="center"/>
          </w:tcPr>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GB/T 22048—2015</w:t>
            </w:r>
          </w:p>
          <w:p w:rsidR="000F4119" w:rsidRPr="000F4119" w:rsidRDefault="000F4119" w:rsidP="000F4119">
            <w:pPr>
              <w:spacing w:line="300" w:lineRule="auto"/>
              <w:jc w:val="center"/>
              <w:rPr>
                <w:rFonts w:ascii="Times New Roman" w:eastAsia="宋体" w:hAnsi="Times New Roman" w:cs="Times New Roman"/>
                <w:bCs/>
                <w:kern w:val="0"/>
                <w:szCs w:val="21"/>
              </w:rPr>
            </w:pPr>
            <w:r w:rsidRPr="000F4119">
              <w:rPr>
                <w:rFonts w:ascii="Times New Roman" w:eastAsia="宋体" w:hAnsi="Times New Roman" w:cs="Times New Roman"/>
                <w:bCs/>
                <w:kern w:val="0"/>
                <w:szCs w:val="21"/>
              </w:rPr>
              <w:t>或</w:t>
            </w:r>
            <w:r w:rsidRPr="000F4119">
              <w:rPr>
                <w:rFonts w:ascii="Times New Roman" w:eastAsia="宋体" w:hAnsi="Times New Roman" w:cs="Times New Roman"/>
                <w:bCs/>
                <w:kern w:val="0"/>
                <w:szCs w:val="21"/>
              </w:rPr>
              <w:t>GB/T 22048—2022</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spacing w:line="300" w:lineRule="auto"/>
              <w:jc w:val="center"/>
              <w:rPr>
                <w:rFonts w:ascii="Times New Roman" w:eastAsia="宋体" w:hAnsi="Times New Roman" w:cs="Times New Roman"/>
                <w:bCs/>
                <w:kern w:val="0"/>
                <w:szCs w:val="21"/>
              </w:rPr>
            </w:pPr>
          </w:p>
        </w:tc>
        <w:tc>
          <w:tcPr>
            <w:tcW w:w="442" w:type="pct"/>
          </w:tcPr>
          <w:p w:rsidR="000F4119" w:rsidRPr="000F4119" w:rsidRDefault="000F4119" w:rsidP="000F4119">
            <w:pPr>
              <w:spacing w:line="300" w:lineRule="auto"/>
              <w:jc w:val="center"/>
              <w:rPr>
                <w:rFonts w:ascii="Times New Roman" w:eastAsia="宋体" w:hAnsi="Times New Roman" w:cs="Times New Roman"/>
                <w:bCs/>
                <w:kern w:val="0"/>
                <w:szCs w:val="21"/>
              </w:rPr>
            </w:pPr>
          </w:p>
        </w:tc>
      </w:tr>
      <w:tr w:rsidR="000F4119" w:rsidRPr="000F4119" w:rsidTr="007A348F">
        <w:trPr>
          <w:cantSplit/>
          <w:trHeight w:val="340"/>
          <w:jc w:val="center"/>
        </w:trPr>
        <w:tc>
          <w:tcPr>
            <w:tcW w:w="5000" w:type="pct"/>
            <w:gridSpan w:val="8"/>
          </w:tcPr>
          <w:p w:rsidR="000F4119" w:rsidRPr="000F4119" w:rsidRDefault="000F4119" w:rsidP="000F4119">
            <w:pPr>
              <w:widowControl/>
              <w:spacing w:before="100" w:beforeAutospacing="1" w:after="100" w:afterAutospacing="1" w:line="360" w:lineRule="atLeast"/>
              <w:rPr>
                <w:rFonts w:ascii="Times New Roman" w:eastAsia="宋体" w:hAnsi="Times New Roman" w:cs="Times New Roman"/>
                <w:bCs/>
                <w:szCs w:val="21"/>
              </w:rPr>
            </w:pPr>
            <w:r w:rsidRPr="000F4119">
              <w:rPr>
                <w:rFonts w:ascii="Times New Roman" w:eastAsia="宋体" w:hAnsi="Times New Roman" w:cs="Times New Roman"/>
                <w:bCs/>
                <w:szCs w:val="21"/>
              </w:rPr>
              <w:t>六、电性能</w:t>
            </w:r>
          </w:p>
        </w:tc>
      </w:tr>
      <w:tr w:rsidR="007A348F" w:rsidRPr="000F4119" w:rsidTr="007A348F">
        <w:trPr>
          <w:cantSplit/>
          <w:trHeight w:val="340"/>
          <w:jc w:val="center"/>
        </w:trPr>
        <w:tc>
          <w:tcPr>
            <w:tcW w:w="272" w:type="pct"/>
            <w:vAlign w:val="center"/>
          </w:tcPr>
          <w:p w:rsidR="000F4119" w:rsidRPr="000F4119" w:rsidRDefault="000F4119" w:rsidP="000F4119">
            <w:pPr>
              <w:widowControl/>
              <w:spacing w:before="100" w:beforeAutospacing="1" w:after="100" w:afterAutospacing="1" w:line="360" w:lineRule="atLeast"/>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1</w:t>
            </w:r>
          </w:p>
        </w:tc>
        <w:tc>
          <w:tcPr>
            <w:tcW w:w="1372" w:type="pct"/>
            <w:vAlign w:val="center"/>
          </w:tcPr>
          <w:p w:rsidR="000F4119" w:rsidRPr="000F4119" w:rsidRDefault="000F4119" w:rsidP="000F4119">
            <w:pPr>
              <w:widowControl/>
              <w:spacing w:before="100" w:beforeAutospacing="1" w:after="100" w:afterAutospacing="1" w:line="360" w:lineRule="atLeast"/>
              <w:jc w:val="left"/>
              <w:rPr>
                <w:rFonts w:ascii="Times New Roman" w:eastAsia="宋体" w:hAnsi="Times New Roman" w:cs="Times New Roman"/>
                <w:kern w:val="0"/>
                <w:szCs w:val="21"/>
              </w:rPr>
            </w:pPr>
            <w:r w:rsidRPr="000F4119">
              <w:rPr>
                <w:rFonts w:ascii="Times New Roman" w:eastAsia="宋体" w:hAnsi="Times New Roman" w:cs="Times New Roman"/>
                <w:kern w:val="0"/>
                <w:szCs w:val="21"/>
              </w:rPr>
              <w:t>发热和非正常工作</w:t>
            </w:r>
          </w:p>
        </w:tc>
        <w:tc>
          <w:tcPr>
            <w:tcW w:w="1081" w:type="pct"/>
            <w:vAlign w:val="center"/>
          </w:tcPr>
          <w:p w:rsidR="000F4119" w:rsidRPr="000F4119" w:rsidRDefault="000F4119" w:rsidP="000F4119">
            <w:pPr>
              <w:widowControl/>
              <w:spacing w:before="100" w:beforeAutospacing="1" w:after="100" w:afterAutospacing="1" w:line="360" w:lineRule="atLeast"/>
              <w:jc w:val="center"/>
              <w:rPr>
                <w:rFonts w:ascii="Times New Roman" w:eastAsia="宋体" w:hAnsi="Times New Roman" w:cs="Times New Roman"/>
                <w:kern w:val="0"/>
                <w:szCs w:val="21"/>
              </w:rPr>
            </w:pPr>
            <w:r w:rsidRPr="000F4119">
              <w:rPr>
                <w:rFonts w:ascii="Times New Roman" w:eastAsia="宋体" w:hAnsi="Times New Roman" w:cs="Times New Roman"/>
                <w:kern w:val="0"/>
                <w:szCs w:val="21"/>
              </w:rPr>
              <w:t>GB 19865—2005</w:t>
            </w:r>
            <w:r w:rsidRPr="000F4119">
              <w:rPr>
                <w:rFonts w:ascii="Times New Roman" w:eastAsia="宋体" w:hAnsi="Times New Roman" w:cs="Times New Roman"/>
                <w:kern w:val="0"/>
                <w:szCs w:val="21"/>
              </w:rPr>
              <w:t>及第</w:t>
            </w:r>
            <w:r w:rsidRPr="000F4119">
              <w:rPr>
                <w:rFonts w:ascii="Times New Roman" w:eastAsia="宋体" w:hAnsi="Times New Roman" w:cs="Times New Roman"/>
                <w:kern w:val="0"/>
                <w:szCs w:val="21"/>
              </w:rPr>
              <w:t>1</w:t>
            </w:r>
            <w:r w:rsidRPr="000F4119">
              <w:rPr>
                <w:rFonts w:ascii="Times New Roman" w:eastAsia="宋体" w:hAnsi="Times New Roman" w:cs="Times New Roman"/>
                <w:kern w:val="0"/>
                <w:szCs w:val="21"/>
              </w:rPr>
              <w:t>号修改单</w:t>
            </w:r>
          </w:p>
        </w:tc>
        <w:tc>
          <w:tcPr>
            <w:tcW w:w="417"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623904">
            <w:pPr>
              <w:spacing w:line="340" w:lineRule="exact"/>
              <w:jc w:val="center"/>
              <w:rPr>
                <w:rFonts w:ascii="仿宋_GB2312" w:eastAsia="仿宋_GB2312" w:hAnsi="仿宋_GB2312" w:cs="仿宋_GB2312"/>
                <w:sz w:val="24"/>
                <w:szCs w:val="24"/>
              </w:rPr>
            </w:pPr>
          </w:p>
        </w:tc>
        <w:tc>
          <w:tcPr>
            <w:tcW w:w="416" w:type="pct"/>
          </w:tcPr>
          <w:p w:rsidR="000F4119" w:rsidRPr="000F4119" w:rsidRDefault="000F4119" w:rsidP="00623904">
            <w:pPr>
              <w:spacing w:line="340" w:lineRule="exact"/>
              <w:jc w:val="center"/>
              <w:rPr>
                <w:rFonts w:ascii="仿宋_GB2312" w:eastAsia="仿宋_GB2312" w:hAnsi="仿宋_GB2312" w:cs="仿宋_GB2312"/>
                <w:sz w:val="24"/>
                <w:szCs w:val="24"/>
              </w:rPr>
            </w:pPr>
            <w:r w:rsidRPr="000F4119">
              <w:rPr>
                <w:rFonts w:ascii="仿宋_GB2312" w:eastAsia="仿宋_GB2312" w:hAnsi="仿宋_GB2312" w:cs="仿宋_GB2312" w:hint="eastAsia"/>
                <w:sz w:val="24"/>
                <w:szCs w:val="24"/>
              </w:rPr>
              <w:t>●</w:t>
            </w:r>
          </w:p>
        </w:tc>
        <w:tc>
          <w:tcPr>
            <w:tcW w:w="500" w:type="pct"/>
          </w:tcPr>
          <w:p w:rsidR="000F4119" w:rsidRPr="000F4119" w:rsidRDefault="000F4119" w:rsidP="000F4119">
            <w:pPr>
              <w:widowControl/>
              <w:spacing w:before="100" w:beforeAutospacing="1" w:after="100" w:afterAutospacing="1" w:line="360" w:lineRule="atLeast"/>
              <w:jc w:val="center"/>
              <w:rPr>
                <w:rFonts w:ascii="Times New Roman" w:eastAsia="宋体" w:hAnsi="Times New Roman" w:cs="Times New Roman"/>
                <w:kern w:val="0"/>
                <w:szCs w:val="21"/>
              </w:rPr>
            </w:pPr>
          </w:p>
        </w:tc>
        <w:tc>
          <w:tcPr>
            <w:tcW w:w="442" w:type="pct"/>
          </w:tcPr>
          <w:p w:rsidR="000F4119" w:rsidRPr="000F4119" w:rsidRDefault="000F4119" w:rsidP="000F4119">
            <w:pPr>
              <w:widowControl/>
              <w:spacing w:before="100" w:beforeAutospacing="1" w:after="100" w:afterAutospacing="1" w:line="360" w:lineRule="atLeast"/>
              <w:jc w:val="center"/>
              <w:rPr>
                <w:rFonts w:ascii="Times New Roman" w:eastAsia="宋体" w:hAnsi="Times New Roman" w:cs="Times New Roman"/>
                <w:kern w:val="0"/>
                <w:szCs w:val="21"/>
              </w:rPr>
            </w:pPr>
          </w:p>
        </w:tc>
      </w:tr>
    </w:tbl>
    <w:p w:rsidR="005772BB" w:rsidRPr="005772BB" w:rsidRDefault="005772BB" w:rsidP="005772BB">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5772BB">
        <w:rPr>
          <w:rFonts w:ascii="仿宋_GB2312" w:eastAsia="仿宋_GB2312" w:hAnsi="Times New Roman" w:cs="Times New Roman" w:hint="eastAsia"/>
          <w:bCs/>
          <w:sz w:val="24"/>
          <w:szCs w:val="24"/>
        </w:rPr>
        <w:t>备注：</w:t>
      </w:r>
      <w:r w:rsidRPr="005772BB">
        <w:rPr>
          <w:rFonts w:ascii="仿宋_GB2312" w:eastAsia="仿宋_GB2312" w:hAnsi="Times New Roman" w:cs="Times New Roman" w:hint="eastAsia"/>
          <w:bCs/>
          <w:sz w:val="24"/>
          <w:szCs w:val="24"/>
        </w:rPr>
        <w:fldChar w:fldCharType="begin"/>
      </w:r>
      <w:r w:rsidRPr="005772BB">
        <w:rPr>
          <w:rFonts w:ascii="仿宋_GB2312" w:eastAsia="仿宋_GB2312" w:hAnsi="Times New Roman" w:cs="Times New Roman" w:hint="eastAsia"/>
          <w:bCs/>
          <w:sz w:val="24"/>
          <w:szCs w:val="24"/>
        </w:rPr>
        <w:instrText xml:space="preserve"> = 1 \* GB3 </w:instrText>
      </w:r>
      <w:r w:rsidRPr="005772BB">
        <w:rPr>
          <w:rFonts w:ascii="仿宋_GB2312" w:eastAsia="仿宋_GB2312" w:hAnsi="Times New Roman" w:cs="Times New Roman" w:hint="eastAsia"/>
          <w:bCs/>
          <w:sz w:val="24"/>
          <w:szCs w:val="24"/>
        </w:rPr>
        <w:fldChar w:fldCharType="separate"/>
      </w:r>
      <w:r w:rsidRPr="005772BB">
        <w:rPr>
          <w:rFonts w:ascii="仿宋_GB2312" w:eastAsia="仿宋_GB2312" w:hAnsi="Times New Roman" w:cs="Times New Roman" w:hint="eastAsia"/>
          <w:bCs/>
          <w:sz w:val="24"/>
          <w:szCs w:val="24"/>
        </w:rPr>
        <w:t>1.</w:t>
      </w:r>
      <w:r w:rsidRPr="005772BB">
        <w:rPr>
          <w:rFonts w:ascii="仿宋_GB2312" w:eastAsia="仿宋_GB2312" w:hAnsi="Times New Roman" w:cs="Times New Roman" w:hint="eastAsia"/>
          <w:bCs/>
          <w:sz w:val="24"/>
          <w:szCs w:val="24"/>
        </w:rPr>
        <w:fldChar w:fldCharType="end"/>
      </w:r>
      <w:r w:rsidRPr="005772BB">
        <w:rPr>
          <w:rFonts w:ascii="仿宋_GB2312" w:eastAsia="仿宋_GB2312" w:hAnsi="Times New Roman" w:cs="Times New Roman" w:hint="eastAsia"/>
          <w:bCs/>
          <w:sz w:val="24"/>
          <w:szCs w:val="24"/>
        </w:rPr>
        <w:t>当检验项目中含多个子项目时，标识类的子项目其重要程度为较重要项，仅标识类子项目不合格时，对应的检验项目不合格程度酌情下调。</w:t>
      </w:r>
    </w:p>
    <w:p w:rsidR="005772BB" w:rsidRPr="005772BB" w:rsidRDefault="000F4119" w:rsidP="005772BB">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Pr>
          <w:rFonts w:ascii="仿宋_GB2312" w:eastAsia="仿宋_GB2312" w:hAnsi="Times New Roman" w:cs="Times New Roman" w:hint="eastAsia"/>
          <w:bCs/>
          <w:sz w:val="24"/>
          <w:szCs w:val="24"/>
        </w:rPr>
        <w:t>2</w:t>
      </w:r>
      <w:r w:rsidR="005772BB" w:rsidRPr="005772BB">
        <w:rPr>
          <w:rFonts w:ascii="仿宋_GB2312" w:eastAsia="仿宋_GB2312" w:hAnsi="Times New Roman" w:cs="Times New Roman" w:hint="eastAsia"/>
          <w:bCs/>
          <w:sz w:val="24"/>
          <w:szCs w:val="24"/>
        </w:rPr>
        <w:t>.GB 19865测试前应按标准第5章进行预处理。</w:t>
      </w:r>
    </w:p>
    <w:p w:rsidR="005772BB" w:rsidRPr="005772BB" w:rsidRDefault="000F4119" w:rsidP="005772BB">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Pr>
          <w:rFonts w:ascii="仿宋_GB2312" w:eastAsia="仿宋_GB2312" w:hAnsi="Times New Roman" w:cs="Times New Roman" w:hint="eastAsia"/>
          <w:bCs/>
          <w:sz w:val="24"/>
          <w:szCs w:val="24"/>
        </w:rPr>
        <w:t>3</w:t>
      </w:r>
      <w:r w:rsidR="005772BB" w:rsidRPr="005772BB">
        <w:rPr>
          <w:rFonts w:ascii="仿宋_GB2312" w:eastAsia="仿宋_GB2312" w:hAnsi="Times New Roman" w:cs="Times New Roman" w:hint="eastAsia"/>
          <w:bCs/>
          <w:sz w:val="24"/>
          <w:szCs w:val="24"/>
        </w:rPr>
        <w:t xml:space="preserve">.邻苯二甲酸酯增塑剂项目的检测方法，测试日期在2023年8月1日前，使用GB/T 22048-2015；测试日期在2023年8月1日后，使用GB/T 22048-2022，复检时，应采用初检检测方法。 </w:t>
      </w:r>
    </w:p>
    <w:p w:rsidR="005772BB" w:rsidRPr="005772BB" w:rsidRDefault="000F4119" w:rsidP="005772BB">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Pr>
          <w:rFonts w:ascii="仿宋_GB2312" w:eastAsia="仿宋_GB2312" w:hAnsi="Times New Roman" w:cs="Times New Roman" w:hint="eastAsia"/>
          <w:bCs/>
          <w:sz w:val="24"/>
          <w:szCs w:val="24"/>
        </w:rPr>
        <w:t>4</w:t>
      </w:r>
      <w:r w:rsidR="005772BB" w:rsidRPr="005772BB">
        <w:rPr>
          <w:rFonts w:ascii="仿宋_GB2312" w:eastAsia="仿宋_GB2312" w:hAnsi="Times New Roman" w:cs="Times New Roman" w:hint="eastAsia"/>
          <w:bCs/>
          <w:sz w:val="24"/>
          <w:szCs w:val="24"/>
        </w:rPr>
        <w:t>.儿童泳圈按《广东省儿童水上器材产品质量监督抽查实施细则》进行检测。</w:t>
      </w:r>
    </w:p>
    <w:p w:rsidR="005772BB" w:rsidRPr="005772BB" w:rsidRDefault="000F4119" w:rsidP="005772BB">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Pr>
          <w:rFonts w:ascii="仿宋_GB2312" w:eastAsia="仿宋_GB2312" w:hAnsi="Times New Roman" w:cs="Times New Roman" w:hint="eastAsia"/>
          <w:bCs/>
          <w:sz w:val="24"/>
          <w:szCs w:val="24"/>
        </w:rPr>
        <w:t>5</w:t>
      </w:r>
      <w:r w:rsidR="005772BB" w:rsidRPr="005772BB">
        <w:rPr>
          <w:rFonts w:ascii="仿宋_GB2312" w:eastAsia="仿宋_GB2312" w:hAnsi="Times New Roman" w:cs="Times New Roman" w:hint="eastAsia"/>
          <w:bCs/>
          <w:sz w:val="24"/>
          <w:szCs w:val="24"/>
        </w:rPr>
        <w:t>.电动童车按《广东省童车产品质量监督抽查实施细则》进行检测。</w:t>
      </w:r>
    </w:p>
    <w:p w:rsidR="005772BB" w:rsidRPr="005772BB" w:rsidRDefault="000F4119" w:rsidP="005772BB">
      <w:pPr>
        <w:adjustRightInd w:val="0"/>
        <w:snapToGrid w:val="0"/>
        <w:spacing w:beforeLines="10" w:before="31" w:afterLines="10" w:after="31" w:line="440" w:lineRule="exact"/>
        <w:ind w:firstLineChars="200" w:firstLine="480"/>
        <w:rPr>
          <w:rFonts w:ascii="Times New Roman" w:eastAsia="仿宋_GB2312" w:hAnsi="Times New Roman" w:cs="Times New Roman"/>
          <w:sz w:val="24"/>
          <w:szCs w:val="24"/>
        </w:rPr>
      </w:pPr>
      <w:r>
        <w:rPr>
          <w:rFonts w:ascii="仿宋_GB2312" w:eastAsia="仿宋_GB2312" w:hAnsi="Times New Roman" w:cs="Times New Roman" w:hint="eastAsia"/>
          <w:bCs/>
          <w:sz w:val="24"/>
          <w:szCs w:val="24"/>
        </w:rPr>
        <w:t>6</w:t>
      </w:r>
      <w:r w:rsidR="005772BB" w:rsidRPr="005772BB">
        <w:rPr>
          <w:rFonts w:ascii="仿宋_GB2312" w:eastAsia="仿宋_GB2312" w:hAnsi="Times New Roman" w:cs="Times New Roman" w:hint="eastAsia"/>
          <w:bCs/>
          <w:sz w:val="24"/>
          <w:szCs w:val="24"/>
        </w:rPr>
        <w:t>.本细则所指的玩具为塑胶玩具、弹射玩具、毛绒布制玩具、电玩具、儿童地垫、化学及类似实验玩具、泡泡水、乘骑车辆玩具(除电动童车)、充气水上玩具(除儿童泳圈)、磁性玩具、儿童爬行地垫、附赠玩具、金属玩具、木制玩具、泥类玩具、娃娃玩具、造型粘土、纸质玩具等。</w:t>
      </w:r>
    </w:p>
    <w:p w:rsidR="007A348F" w:rsidRDefault="007A348F" w:rsidP="007B0C05">
      <w:pPr>
        <w:ind w:firstLineChars="200" w:firstLine="480"/>
        <w:rPr>
          <w:rFonts w:ascii="Times New Roman" w:eastAsia="黑体" w:hAnsi="Times New Roman" w:cs="黑体" w:hint="eastAsia"/>
          <w:sz w:val="24"/>
          <w:szCs w:val="24"/>
        </w:rPr>
      </w:pPr>
    </w:p>
    <w:p w:rsidR="005772BB" w:rsidRPr="005772BB" w:rsidRDefault="005772BB" w:rsidP="007B0C05">
      <w:pPr>
        <w:ind w:firstLineChars="200" w:firstLine="480"/>
        <w:rPr>
          <w:rFonts w:ascii="Times New Roman" w:eastAsia="黑体" w:hAnsi="Times New Roman" w:cs="黑体"/>
          <w:sz w:val="24"/>
          <w:szCs w:val="24"/>
        </w:rPr>
      </w:pPr>
      <w:r w:rsidRPr="005772BB">
        <w:rPr>
          <w:rFonts w:ascii="Times New Roman" w:eastAsia="黑体" w:hAnsi="Times New Roman" w:cs="黑体" w:hint="eastAsia"/>
          <w:sz w:val="24"/>
          <w:szCs w:val="24"/>
        </w:rPr>
        <w:t>三、判定规则</w:t>
      </w:r>
    </w:p>
    <w:p w:rsidR="005772BB" w:rsidRPr="007A348F" w:rsidRDefault="005772BB"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bCs/>
          <w:sz w:val="24"/>
          <w:szCs w:val="24"/>
        </w:rPr>
        <w:t>（一）依据标准</w:t>
      </w:r>
    </w:p>
    <w:p w:rsidR="000F4119" w:rsidRPr="007A348F" w:rsidRDefault="000F4119"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hint="eastAsia"/>
          <w:bCs/>
          <w:sz w:val="24"/>
          <w:szCs w:val="24"/>
        </w:rPr>
        <w:t>GB 6675.1—2014 玩具安全</w:t>
      </w:r>
      <w:bookmarkStart w:id="1" w:name="_GoBack"/>
      <w:bookmarkEnd w:id="1"/>
      <w:r w:rsidRPr="007A348F">
        <w:rPr>
          <w:rFonts w:ascii="仿宋_GB2312" w:eastAsia="仿宋_GB2312" w:hAnsi="Times New Roman" w:cs="Times New Roman" w:hint="eastAsia"/>
          <w:bCs/>
          <w:sz w:val="24"/>
          <w:szCs w:val="24"/>
        </w:rPr>
        <w:t xml:space="preserve"> 第1部分：基本规范</w:t>
      </w:r>
    </w:p>
    <w:p w:rsidR="000F4119" w:rsidRPr="007A348F" w:rsidRDefault="000F4119"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hint="eastAsia"/>
          <w:bCs/>
          <w:sz w:val="24"/>
          <w:szCs w:val="24"/>
        </w:rPr>
        <w:t>GB 6675.2—2014玩具安全 第2部分：机械与物理性能及第1号修改单</w:t>
      </w:r>
    </w:p>
    <w:p w:rsidR="000F4119" w:rsidRPr="007A348F" w:rsidRDefault="000F4119"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hint="eastAsia"/>
          <w:bCs/>
          <w:sz w:val="24"/>
          <w:szCs w:val="24"/>
        </w:rPr>
        <w:lastRenderedPageBreak/>
        <w:t>GB 6675.3—2014 玩具安全 第3部分：易燃性能</w:t>
      </w:r>
    </w:p>
    <w:p w:rsidR="000F4119" w:rsidRPr="007A348F" w:rsidRDefault="000F4119"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hint="eastAsia"/>
          <w:bCs/>
          <w:sz w:val="24"/>
          <w:szCs w:val="24"/>
        </w:rPr>
        <w:t>GB 6675.4—2014 玩具安全 第4部分：特定元素的迁移</w:t>
      </w:r>
    </w:p>
    <w:p w:rsidR="000F4119" w:rsidRPr="007A348F" w:rsidRDefault="000F4119"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hint="eastAsia"/>
          <w:bCs/>
          <w:sz w:val="24"/>
          <w:szCs w:val="24"/>
        </w:rPr>
        <w:t>GB 19865—2005电玩具的安全及第1号修改单</w:t>
      </w:r>
    </w:p>
    <w:p w:rsidR="000F4119" w:rsidRPr="007A348F" w:rsidRDefault="000F4119"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hint="eastAsia"/>
          <w:bCs/>
          <w:sz w:val="24"/>
          <w:szCs w:val="24"/>
        </w:rPr>
        <w:t>GB/T 22048—2015 玩具及儿童用品中特定邻苯二甲酸酯增塑剂的测定</w:t>
      </w:r>
    </w:p>
    <w:p w:rsidR="000F4119" w:rsidRPr="007A348F" w:rsidRDefault="000F4119"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hint="eastAsia"/>
          <w:bCs/>
          <w:sz w:val="24"/>
          <w:szCs w:val="24"/>
        </w:rPr>
        <w:t>GB/T 22048—2022 玩具及儿童用品中特定邻苯二甲酸酯增塑剂的测定</w:t>
      </w:r>
    </w:p>
    <w:p w:rsidR="005772BB" w:rsidRPr="007A348F" w:rsidRDefault="005772BB"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bCs/>
          <w:sz w:val="24"/>
          <w:szCs w:val="24"/>
        </w:rPr>
        <w:t>现行有效的企业标准、团体标准、地方标准及产品明示质量要求。</w:t>
      </w:r>
    </w:p>
    <w:p w:rsidR="005772BB" w:rsidRPr="007A348F" w:rsidRDefault="005772BB"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bCs/>
          <w:sz w:val="24"/>
          <w:szCs w:val="24"/>
        </w:rPr>
        <w:t>（二）判定原则</w:t>
      </w:r>
    </w:p>
    <w:p w:rsidR="005772BB" w:rsidRPr="007A348F" w:rsidRDefault="005772BB"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bCs/>
          <w:sz w:val="24"/>
          <w:szCs w:val="24"/>
        </w:rPr>
        <w:t>经检验，检验项目全部合格，判定为抽取的样本所检项目未检出不合格；检验项目中任一项或一项以上不合格，判定为被抽查产品不合格。</w:t>
      </w:r>
    </w:p>
    <w:p w:rsidR="005772BB" w:rsidRPr="007A348F" w:rsidRDefault="005772BB"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bCs/>
          <w:sz w:val="24"/>
          <w:szCs w:val="24"/>
        </w:rPr>
        <w:t>当被检样品明示的质量要求优于监督抽查实施细则中依据的标准要求时，应按被检样品明示的质量要求判定；</w:t>
      </w:r>
    </w:p>
    <w:p w:rsidR="005772BB" w:rsidRPr="007A348F" w:rsidRDefault="005772BB"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bCs/>
          <w:sz w:val="24"/>
          <w:szCs w:val="24"/>
        </w:rPr>
        <w:t>当被检样品明示的质量要求劣于或不包含监督抽查实施细则中依据的强制性标准要求时，应按照强制性标准要求判定；</w:t>
      </w:r>
    </w:p>
    <w:p w:rsidR="005772BB" w:rsidRPr="007A348F" w:rsidRDefault="005772BB"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bCs/>
          <w:sz w:val="24"/>
          <w:szCs w:val="24"/>
        </w:rPr>
        <w:t>当被检样品未能提供有效的企业标准时，按相关国家或行业标准进行判定；</w:t>
      </w:r>
    </w:p>
    <w:p w:rsidR="005772BB" w:rsidRPr="007A348F" w:rsidRDefault="005772BB"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bCs/>
          <w:sz w:val="24"/>
          <w:szCs w:val="24"/>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sidRPr="007A348F">
        <w:rPr>
          <w:rFonts w:ascii="仿宋_GB2312" w:eastAsia="仿宋_GB2312" w:hAnsi="Times New Roman" w:cs="Times New Roman"/>
          <w:bCs/>
          <w:sz w:val="24"/>
          <w:szCs w:val="24"/>
        </w:rPr>
        <w:t>作出</w:t>
      </w:r>
      <w:proofErr w:type="gramEnd"/>
      <w:r w:rsidRPr="007A348F">
        <w:rPr>
          <w:rFonts w:ascii="仿宋_GB2312" w:eastAsia="仿宋_GB2312" w:hAnsi="Times New Roman" w:cs="Times New Roman"/>
          <w:bCs/>
          <w:sz w:val="24"/>
          <w:szCs w:val="24"/>
        </w:rPr>
        <w:t>相关说明；</w:t>
      </w:r>
    </w:p>
    <w:p w:rsidR="005772BB" w:rsidRPr="007A348F" w:rsidRDefault="005772BB"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bCs/>
          <w:sz w:val="24"/>
          <w:szCs w:val="24"/>
        </w:rPr>
        <w:t>按照产品质量相关法律法规的规定判定。</w:t>
      </w:r>
    </w:p>
    <w:p w:rsidR="00AA13E6" w:rsidRPr="007A348F" w:rsidRDefault="005772BB" w:rsidP="007A348F">
      <w:pPr>
        <w:adjustRightInd w:val="0"/>
        <w:snapToGrid w:val="0"/>
        <w:spacing w:beforeLines="10" w:before="31" w:afterLines="10" w:after="31" w:line="440" w:lineRule="exact"/>
        <w:ind w:firstLineChars="200" w:firstLine="480"/>
        <w:rPr>
          <w:rFonts w:ascii="仿宋_GB2312" w:eastAsia="仿宋_GB2312" w:hAnsi="Times New Roman" w:cs="Times New Roman"/>
          <w:bCs/>
          <w:sz w:val="24"/>
          <w:szCs w:val="24"/>
        </w:rPr>
      </w:pPr>
      <w:r w:rsidRPr="007A348F">
        <w:rPr>
          <w:rFonts w:ascii="仿宋_GB2312" w:eastAsia="仿宋_GB2312" w:hAnsi="Times New Roman" w:cs="Times New Roman"/>
          <w:bCs/>
          <w:sz w:val="24"/>
          <w:szCs w:val="24"/>
        </w:rPr>
        <w:t>检验中发现因样品失效或者其他原因致使检验无法进行的，检验人员应如实记录，并提供相关证明材料，报送组织监督抽查的市场监管部门。</w:t>
      </w:r>
    </w:p>
    <w:sectPr w:rsidR="00AA13E6" w:rsidRPr="007A34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BB" w:rsidRDefault="005772BB" w:rsidP="005772BB">
      <w:r>
        <w:separator/>
      </w:r>
    </w:p>
  </w:endnote>
  <w:endnote w:type="continuationSeparator" w:id="0">
    <w:p w:rsidR="005772BB" w:rsidRDefault="005772BB" w:rsidP="0057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BB" w:rsidRDefault="005772BB" w:rsidP="005772BB">
      <w:r>
        <w:separator/>
      </w:r>
    </w:p>
  </w:footnote>
  <w:footnote w:type="continuationSeparator" w:id="0">
    <w:p w:rsidR="005772BB" w:rsidRDefault="005772BB" w:rsidP="00577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4A"/>
    <w:rsid w:val="000F4119"/>
    <w:rsid w:val="00201502"/>
    <w:rsid w:val="003868D1"/>
    <w:rsid w:val="005772BB"/>
    <w:rsid w:val="00585C12"/>
    <w:rsid w:val="007A348F"/>
    <w:rsid w:val="007B0C05"/>
    <w:rsid w:val="00C1124A"/>
    <w:rsid w:val="00DB02AE"/>
    <w:rsid w:val="00E10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72BB"/>
    <w:rPr>
      <w:sz w:val="18"/>
      <w:szCs w:val="18"/>
    </w:rPr>
  </w:style>
  <w:style w:type="paragraph" w:styleId="a4">
    <w:name w:val="footer"/>
    <w:basedOn w:val="a"/>
    <w:link w:val="Char0"/>
    <w:uiPriority w:val="99"/>
    <w:unhideWhenUsed/>
    <w:rsid w:val="005772BB"/>
    <w:pPr>
      <w:tabs>
        <w:tab w:val="center" w:pos="4153"/>
        <w:tab w:val="right" w:pos="8306"/>
      </w:tabs>
      <w:snapToGrid w:val="0"/>
      <w:jc w:val="left"/>
    </w:pPr>
    <w:rPr>
      <w:sz w:val="18"/>
      <w:szCs w:val="18"/>
    </w:rPr>
  </w:style>
  <w:style w:type="character" w:customStyle="1" w:styleId="Char0">
    <w:name w:val="页脚 Char"/>
    <w:basedOn w:val="a0"/>
    <w:link w:val="a4"/>
    <w:uiPriority w:val="99"/>
    <w:rsid w:val="005772B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72BB"/>
    <w:rPr>
      <w:sz w:val="18"/>
      <w:szCs w:val="18"/>
    </w:rPr>
  </w:style>
  <w:style w:type="paragraph" w:styleId="a4">
    <w:name w:val="footer"/>
    <w:basedOn w:val="a"/>
    <w:link w:val="Char0"/>
    <w:uiPriority w:val="99"/>
    <w:unhideWhenUsed/>
    <w:rsid w:val="005772BB"/>
    <w:pPr>
      <w:tabs>
        <w:tab w:val="center" w:pos="4153"/>
        <w:tab w:val="right" w:pos="8306"/>
      </w:tabs>
      <w:snapToGrid w:val="0"/>
      <w:jc w:val="left"/>
    </w:pPr>
    <w:rPr>
      <w:sz w:val="18"/>
      <w:szCs w:val="18"/>
    </w:rPr>
  </w:style>
  <w:style w:type="character" w:customStyle="1" w:styleId="Char0">
    <w:name w:val="页脚 Char"/>
    <w:basedOn w:val="a0"/>
    <w:link w:val="a4"/>
    <w:uiPriority w:val="99"/>
    <w:rsid w:val="005772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555</Words>
  <Characters>3164</Characters>
  <Application>Microsoft Office Word</Application>
  <DocSecurity>0</DocSecurity>
  <Lines>26</Lines>
  <Paragraphs>7</Paragraphs>
  <ScaleCrop>false</ScaleCrop>
  <Company>Microsoft</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XJ</cp:lastModifiedBy>
  <cp:revision>8</cp:revision>
  <dcterms:created xsi:type="dcterms:W3CDTF">2024-05-31T05:18:00Z</dcterms:created>
  <dcterms:modified xsi:type="dcterms:W3CDTF">2024-06-03T00:38:00Z</dcterms:modified>
</cp:coreProperties>
</file>