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jc w:val="center"/>
        <w:rPr>
          <w:rFonts w:eastAsia="方正小标宋_GBK"/>
          <w:color w:val="000000"/>
          <w:sz w:val="36"/>
          <w:szCs w:val="36"/>
        </w:rPr>
      </w:pPr>
      <w:r>
        <w:rPr>
          <w:rFonts w:hint="eastAsia" w:eastAsia="方正小标宋简体"/>
          <w:color w:val="000000"/>
          <w:sz w:val="36"/>
          <w:szCs w:val="36"/>
        </w:rPr>
        <w:t>（二十一）卫生健康</w:t>
      </w:r>
      <w:r>
        <w:rPr>
          <w:rFonts w:eastAsia="方正小标宋简体"/>
          <w:color w:val="000000"/>
          <w:sz w:val="36"/>
          <w:szCs w:val="36"/>
        </w:rPr>
        <w:t>领域基层政务公开标准目录</w:t>
      </w:r>
    </w:p>
    <w:tbl>
      <w:tblPr>
        <w:tblStyle w:val="5"/>
        <w:tblW w:w="507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765"/>
        <w:gridCol w:w="1562"/>
        <w:gridCol w:w="3260"/>
        <w:gridCol w:w="1131"/>
        <w:gridCol w:w="1134"/>
        <w:gridCol w:w="852"/>
        <w:gridCol w:w="1629"/>
        <w:gridCol w:w="507"/>
        <w:gridCol w:w="529"/>
        <w:gridCol w:w="494"/>
        <w:gridCol w:w="529"/>
        <w:gridCol w:w="580"/>
        <w:gridCol w:w="494"/>
        <w:gridCol w:w="754"/>
        <w:gridCol w:w="1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95" w:type="pct"/>
            <w:vMerge w:val="restart"/>
            <w:vAlign w:val="center"/>
          </w:tcPr>
          <w:p>
            <w:pPr>
              <w:widowControl/>
              <w:spacing w:line="220" w:lineRule="exact"/>
              <w:jc w:val="center"/>
              <w:rPr>
                <w:rFonts w:ascii="黑体" w:hAnsi="黑体" w:eastAsia="黑体" w:cs="宋体"/>
                <w:color w:val="000000"/>
                <w:kern w:val="0"/>
                <w:sz w:val="20"/>
                <w:szCs w:val="18"/>
              </w:rPr>
            </w:pPr>
            <w:r>
              <w:rPr>
                <w:rFonts w:hint="eastAsia" w:ascii="黑体" w:hAnsi="黑体" w:eastAsia="黑体" w:cs="宋体"/>
                <w:color w:val="000000"/>
                <w:kern w:val="0"/>
                <w:sz w:val="20"/>
                <w:szCs w:val="18"/>
              </w:rPr>
              <w:t>序号</w:t>
            </w:r>
          </w:p>
        </w:tc>
        <w:tc>
          <w:tcPr>
            <w:tcW w:w="734" w:type="pct"/>
            <w:gridSpan w:val="2"/>
            <w:vAlign w:val="center"/>
          </w:tcPr>
          <w:p>
            <w:pPr>
              <w:widowControl/>
              <w:spacing w:line="220" w:lineRule="exact"/>
              <w:jc w:val="center"/>
              <w:rPr>
                <w:rFonts w:ascii="黑体" w:hAnsi="黑体" w:eastAsia="黑体" w:cs="宋体"/>
                <w:color w:val="000000"/>
                <w:kern w:val="0"/>
                <w:sz w:val="20"/>
                <w:szCs w:val="18"/>
              </w:rPr>
            </w:pPr>
            <w:r>
              <w:rPr>
                <w:rFonts w:hint="eastAsia" w:ascii="黑体" w:hAnsi="黑体" w:eastAsia="黑体" w:cs="宋体"/>
                <w:color w:val="000000"/>
                <w:kern w:val="0"/>
                <w:sz w:val="20"/>
                <w:szCs w:val="18"/>
              </w:rPr>
              <w:t>公开事项</w:t>
            </w:r>
          </w:p>
        </w:tc>
        <w:tc>
          <w:tcPr>
            <w:tcW w:w="1029" w:type="pct"/>
            <w:vMerge w:val="restart"/>
            <w:vAlign w:val="center"/>
          </w:tcPr>
          <w:p>
            <w:pPr>
              <w:widowControl/>
              <w:spacing w:line="220" w:lineRule="exact"/>
              <w:jc w:val="center"/>
              <w:rPr>
                <w:rFonts w:ascii="黑体" w:hAnsi="黑体" w:eastAsia="黑体" w:cs="宋体"/>
                <w:color w:val="000000"/>
                <w:kern w:val="0"/>
                <w:sz w:val="20"/>
                <w:szCs w:val="18"/>
              </w:rPr>
            </w:pPr>
            <w:r>
              <w:rPr>
                <w:rFonts w:hint="eastAsia" w:ascii="黑体" w:hAnsi="黑体" w:eastAsia="黑体" w:cs="宋体"/>
                <w:color w:val="000000"/>
                <w:kern w:val="0"/>
                <w:sz w:val="20"/>
                <w:szCs w:val="18"/>
              </w:rPr>
              <w:t>公开内容（要素）</w:t>
            </w:r>
          </w:p>
        </w:tc>
        <w:tc>
          <w:tcPr>
            <w:tcW w:w="357" w:type="pct"/>
            <w:vMerge w:val="restart"/>
            <w:vAlign w:val="center"/>
          </w:tcPr>
          <w:p>
            <w:pPr>
              <w:widowControl/>
              <w:spacing w:line="220" w:lineRule="exact"/>
              <w:jc w:val="center"/>
              <w:rPr>
                <w:rFonts w:ascii="黑体" w:hAnsi="黑体" w:eastAsia="黑体" w:cs="宋体"/>
                <w:color w:val="000000"/>
                <w:kern w:val="0"/>
                <w:sz w:val="20"/>
                <w:szCs w:val="18"/>
              </w:rPr>
            </w:pPr>
            <w:r>
              <w:rPr>
                <w:rFonts w:hint="eastAsia" w:ascii="黑体" w:hAnsi="黑体" w:eastAsia="黑体" w:cs="宋体"/>
                <w:color w:val="000000"/>
                <w:kern w:val="0"/>
                <w:sz w:val="20"/>
                <w:szCs w:val="18"/>
              </w:rPr>
              <w:t>公开依据</w:t>
            </w:r>
          </w:p>
        </w:tc>
        <w:tc>
          <w:tcPr>
            <w:tcW w:w="358" w:type="pct"/>
            <w:vMerge w:val="restart"/>
            <w:vAlign w:val="center"/>
          </w:tcPr>
          <w:p>
            <w:pPr>
              <w:widowControl/>
              <w:spacing w:line="220" w:lineRule="exact"/>
              <w:jc w:val="center"/>
              <w:rPr>
                <w:rFonts w:ascii="黑体" w:hAnsi="黑体" w:eastAsia="黑体" w:cs="宋体"/>
                <w:color w:val="000000"/>
                <w:kern w:val="0"/>
                <w:sz w:val="20"/>
                <w:szCs w:val="18"/>
              </w:rPr>
            </w:pPr>
            <w:r>
              <w:rPr>
                <w:rFonts w:hint="eastAsia" w:ascii="黑体" w:hAnsi="黑体" w:eastAsia="黑体" w:cs="宋体"/>
                <w:color w:val="000000"/>
                <w:kern w:val="0"/>
                <w:sz w:val="20"/>
                <w:szCs w:val="18"/>
              </w:rPr>
              <w:t>公开时限</w:t>
            </w:r>
          </w:p>
        </w:tc>
        <w:tc>
          <w:tcPr>
            <w:tcW w:w="269" w:type="pct"/>
            <w:vMerge w:val="restart"/>
            <w:vAlign w:val="center"/>
          </w:tcPr>
          <w:p>
            <w:pPr>
              <w:widowControl/>
              <w:spacing w:line="220" w:lineRule="exact"/>
              <w:jc w:val="center"/>
              <w:rPr>
                <w:rFonts w:ascii="黑体" w:hAnsi="黑体" w:eastAsia="黑体" w:cs="宋体"/>
                <w:color w:val="000000"/>
                <w:kern w:val="0"/>
                <w:sz w:val="20"/>
                <w:szCs w:val="18"/>
              </w:rPr>
            </w:pPr>
            <w:r>
              <w:rPr>
                <w:rFonts w:hint="eastAsia" w:ascii="黑体" w:hAnsi="黑体" w:eastAsia="黑体" w:cs="宋体"/>
                <w:color w:val="000000"/>
                <w:kern w:val="0"/>
                <w:sz w:val="20"/>
                <w:szCs w:val="18"/>
              </w:rPr>
              <w:t>公开主体</w:t>
            </w:r>
          </w:p>
        </w:tc>
        <w:tc>
          <w:tcPr>
            <w:tcW w:w="514" w:type="pct"/>
            <w:vMerge w:val="restart"/>
            <w:vAlign w:val="center"/>
          </w:tcPr>
          <w:p>
            <w:pPr>
              <w:widowControl/>
              <w:spacing w:line="220" w:lineRule="exact"/>
              <w:jc w:val="center"/>
              <w:rPr>
                <w:rFonts w:ascii="黑体" w:hAnsi="黑体" w:eastAsia="黑体" w:cs="宋体"/>
                <w:color w:val="000000"/>
                <w:kern w:val="0"/>
                <w:sz w:val="20"/>
                <w:szCs w:val="18"/>
              </w:rPr>
            </w:pPr>
            <w:r>
              <w:rPr>
                <w:rFonts w:hint="eastAsia" w:ascii="黑体" w:hAnsi="黑体" w:eastAsia="黑体" w:cs="宋体"/>
                <w:color w:val="000000"/>
                <w:kern w:val="0"/>
                <w:sz w:val="20"/>
                <w:szCs w:val="18"/>
              </w:rPr>
              <w:t>公开渠道和载体（网址）</w:t>
            </w:r>
          </w:p>
        </w:tc>
        <w:tc>
          <w:tcPr>
            <w:tcW w:w="327" w:type="pct"/>
            <w:gridSpan w:val="2"/>
            <w:vAlign w:val="center"/>
          </w:tcPr>
          <w:p>
            <w:pPr>
              <w:widowControl/>
              <w:spacing w:line="220" w:lineRule="exact"/>
              <w:jc w:val="center"/>
              <w:rPr>
                <w:rFonts w:ascii="黑体" w:hAnsi="黑体" w:eastAsia="黑体" w:cs="宋体"/>
                <w:color w:val="000000"/>
                <w:kern w:val="0"/>
                <w:sz w:val="20"/>
                <w:szCs w:val="18"/>
              </w:rPr>
            </w:pPr>
            <w:r>
              <w:rPr>
                <w:rFonts w:hint="eastAsia" w:ascii="黑体" w:hAnsi="黑体" w:eastAsia="黑体" w:cs="宋体"/>
                <w:color w:val="000000"/>
                <w:kern w:val="0"/>
                <w:sz w:val="20"/>
                <w:szCs w:val="18"/>
              </w:rPr>
              <w:t>公开对象</w:t>
            </w:r>
          </w:p>
        </w:tc>
        <w:tc>
          <w:tcPr>
            <w:tcW w:w="323" w:type="pct"/>
            <w:gridSpan w:val="2"/>
            <w:vAlign w:val="center"/>
          </w:tcPr>
          <w:p>
            <w:pPr>
              <w:widowControl/>
              <w:spacing w:line="220" w:lineRule="exact"/>
              <w:jc w:val="center"/>
              <w:rPr>
                <w:rFonts w:ascii="黑体" w:hAnsi="黑体" w:eastAsia="黑体" w:cs="宋体"/>
                <w:color w:val="000000"/>
                <w:kern w:val="0"/>
                <w:sz w:val="20"/>
                <w:szCs w:val="18"/>
              </w:rPr>
            </w:pPr>
            <w:r>
              <w:rPr>
                <w:rFonts w:hint="eastAsia" w:ascii="黑体" w:hAnsi="黑体" w:eastAsia="黑体" w:cs="宋体"/>
                <w:color w:val="000000"/>
                <w:kern w:val="0"/>
                <w:sz w:val="20"/>
                <w:szCs w:val="18"/>
              </w:rPr>
              <w:t>公开方式</w:t>
            </w:r>
          </w:p>
        </w:tc>
        <w:tc>
          <w:tcPr>
            <w:tcW w:w="577" w:type="pct"/>
            <w:gridSpan w:val="3"/>
            <w:vAlign w:val="center"/>
          </w:tcPr>
          <w:p>
            <w:pPr>
              <w:widowControl/>
              <w:spacing w:line="220" w:lineRule="exact"/>
              <w:jc w:val="center"/>
              <w:rPr>
                <w:rFonts w:ascii="黑体" w:hAnsi="黑体" w:eastAsia="黑体" w:cs="宋体"/>
                <w:color w:val="000000"/>
                <w:kern w:val="0"/>
                <w:sz w:val="20"/>
                <w:szCs w:val="18"/>
              </w:rPr>
            </w:pPr>
            <w:r>
              <w:rPr>
                <w:rFonts w:hint="eastAsia" w:ascii="黑体" w:hAnsi="黑体" w:eastAsia="黑体" w:cs="宋体"/>
                <w:color w:val="000000"/>
                <w:kern w:val="0"/>
                <w:sz w:val="20"/>
                <w:szCs w:val="18"/>
              </w:rPr>
              <w:t>公开层级</w:t>
            </w:r>
          </w:p>
        </w:tc>
        <w:tc>
          <w:tcPr>
            <w:tcW w:w="317" w:type="pct"/>
            <w:vMerge w:val="restart"/>
            <w:vAlign w:val="center"/>
          </w:tcPr>
          <w:p>
            <w:pPr>
              <w:widowControl/>
              <w:spacing w:line="220" w:lineRule="exact"/>
              <w:jc w:val="center"/>
              <w:rPr>
                <w:rFonts w:ascii="黑体" w:hAnsi="黑体" w:eastAsia="黑体" w:cs="宋体"/>
                <w:color w:val="000000"/>
                <w:kern w:val="0"/>
                <w:sz w:val="20"/>
                <w:szCs w:val="18"/>
              </w:rPr>
            </w:pPr>
            <w:r>
              <w:rPr>
                <w:rFonts w:hint="eastAsia" w:ascii="黑体" w:hAnsi="黑体" w:eastAsia="黑体" w:cs="宋体"/>
                <w:color w:val="000000"/>
                <w:kern w:val="0"/>
                <w:sz w:val="20"/>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95" w:type="pct"/>
            <w:vMerge w:val="continue"/>
            <w:vAlign w:val="center"/>
          </w:tcPr>
          <w:p>
            <w:pPr>
              <w:widowControl/>
              <w:spacing w:line="220" w:lineRule="exact"/>
              <w:jc w:val="left"/>
              <w:rPr>
                <w:rFonts w:ascii="黑体" w:hAnsi="黑体" w:eastAsia="黑体" w:cs="宋体"/>
                <w:color w:val="000000"/>
                <w:kern w:val="0"/>
                <w:sz w:val="18"/>
                <w:szCs w:val="18"/>
              </w:rPr>
            </w:pPr>
          </w:p>
        </w:tc>
        <w:tc>
          <w:tcPr>
            <w:tcW w:w="241" w:type="pct"/>
            <w:vAlign w:val="center"/>
          </w:tcPr>
          <w:p>
            <w:pPr>
              <w:widowControl/>
              <w:spacing w:line="220" w:lineRule="exact"/>
              <w:jc w:val="left"/>
              <w:rPr>
                <w:rFonts w:ascii="黑体" w:hAnsi="黑体" w:eastAsia="黑体" w:cs="宋体"/>
                <w:color w:val="000000"/>
                <w:kern w:val="0"/>
                <w:sz w:val="20"/>
                <w:szCs w:val="18"/>
              </w:rPr>
            </w:pPr>
            <w:r>
              <w:rPr>
                <w:rFonts w:hint="eastAsia" w:ascii="黑体" w:hAnsi="黑体" w:eastAsia="黑体" w:cs="宋体"/>
                <w:color w:val="000000"/>
                <w:kern w:val="0"/>
                <w:sz w:val="20"/>
                <w:szCs w:val="18"/>
              </w:rPr>
              <w:t>一级事项</w:t>
            </w:r>
          </w:p>
        </w:tc>
        <w:tc>
          <w:tcPr>
            <w:tcW w:w="493" w:type="pct"/>
            <w:vAlign w:val="center"/>
          </w:tcPr>
          <w:p>
            <w:pPr>
              <w:widowControl/>
              <w:spacing w:line="220" w:lineRule="exact"/>
              <w:jc w:val="left"/>
              <w:rPr>
                <w:rFonts w:ascii="黑体" w:hAnsi="黑体" w:eastAsia="黑体" w:cs="宋体"/>
                <w:color w:val="000000"/>
                <w:kern w:val="0"/>
                <w:sz w:val="20"/>
                <w:szCs w:val="18"/>
              </w:rPr>
            </w:pPr>
            <w:r>
              <w:rPr>
                <w:rFonts w:hint="eastAsia" w:ascii="黑体" w:hAnsi="黑体" w:eastAsia="黑体" w:cs="宋体"/>
                <w:color w:val="000000"/>
                <w:kern w:val="0"/>
                <w:sz w:val="20"/>
                <w:szCs w:val="18"/>
              </w:rPr>
              <w:t>二级事项</w:t>
            </w:r>
          </w:p>
        </w:tc>
        <w:tc>
          <w:tcPr>
            <w:tcW w:w="1029" w:type="pct"/>
            <w:vMerge w:val="continue"/>
            <w:vAlign w:val="center"/>
          </w:tcPr>
          <w:p>
            <w:pPr>
              <w:widowControl/>
              <w:spacing w:line="220" w:lineRule="exact"/>
              <w:jc w:val="left"/>
              <w:rPr>
                <w:rFonts w:ascii="黑体" w:hAnsi="黑体" w:eastAsia="黑体" w:cs="宋体"/>
                <w:color w:val="000000"/>
                <w:kern w:val="0"/>
                <w:sz w:val="18"/>
                <w:szCs w:val="18"/>
              </w:rPr>
            </w:pPr>
          </w:p>
        </w:tc>
        <w:tc>
          <w:tcPr>
            <w:tcW w:w="357" w:type="pct"/>
            <w:vMerge w:val="continue"/>
            <w:vAlign w:val="center"/>
          </w:tcPr>
          <w:p>
            <w:pPr>
              <w:widowControl/>
              <w:spacing w:line="220" w:lineRule="exact"/>
              <w:jc w:val="left"/>
              <w:rPr>
                <w:rFonts w:ascii="黑体" w:hAnsi="黑体" w:eastAsia="黑体" w:cs="宋体"/>
                <w:color w:val="000000"/>
                <w:kern w:val="0"/>
                <w:sz w:val="18"/>
                <w:szCs w:val="18"/>
              </w:rPr>
            </w:pPr>
          </w:p>
        </w:tc>
        <w:tc>
          <w:tcPr>
            <w:tcW w:w="358" w:type="pct"/>
            <w:vMerge w:val="continue"/>
            <w:vAlign w:val="center"/>
          </w:tcPr>
          <w:p>
            <w:pPr>
              <w:widowControl/>
              <w:spacing w:line="220" w:lineRule="exact"/>
              <w:jc w:val="left"/>
              <w:rPr>
                <w:rFonts w:ascii="黑体" w:hAnsi="黑体" w:eastAsia="黑体" w:cs="宋体"/>
                <w:color w:val="000000"/>
                <w:kern w:val="0"/>
                <w:sz w:val="18"/>
                <w:szCs w:val="18"/>
              </w:rPr>
            </w:pPr>
          </w:p>
        </w:tc>
        <w:tc>
          <w:tcPr>
            <w:tcW w:w="269" w:type="pct"/>
            <w:vMerge w:val="continue"/>
            <w:vAlign w:val="center"/>
          </w:tcPr>
          <w:p>
            <w:pPr>
              <w:widowControl/>
              <w:spacing w:line="220" w:lineRule="exact"/>
              <w:jc w:val="left"/>
              <w:rPr>
                <w:rFonts w:ascii="黑体" w:hAnsi="黑体" w:eastAsia="黑体" w:cs="宋体"/>
                <w:color w:val="000000"/>
                <w:kern w:val="0"/>
                <w:sz w:val="18"/>
                <w:szCs w:val="18"/>
              </w:rPr>
            </w:pPr>
          </w:p>
        </w:tc>
        <w:tc>
          <w:tcPr>
            <w:tcW w:w="514" w:type="pct"/>
            <w:vMerge w:val="continue"/>
            <w:vAlign w:val="center"/>
          </w:tcPr>
          <w:p>
            <w:pPr>
              <w:widowControl/>
              <w:spacing w:line="220" w:lineRule="exact"/>
              <w:jc w:val="left"/>
              <w:rPr>
                <w:rFonts w:ascii="黑体" w:hAnsi="黑体" w:eastAsia="黑体" w:cs="宋体"/>
                <w:color w:val="000000"/>
                <w:kern w:val="0"/>
                <w:sz w:val="18"/>
                <w:szCs w:val="18"/>
              </w:rPr>
            </w:pPr>
          </w:p>
        </w:tc>
        <w:tc>
          <w:tcPr>
            <w:tcW w:w="160" w:type="pct"/>
            <w:vAlign w:val="center"/>
          </w:tcPr>
          <w:p>
            <w:pPr>
              <w:widowControl/>
              <w:spacing w:line="220" w:lineRule="exact"/>
              <w:jc w:val="left"/>
              <w:rPr>
                <w:rFonts w:ascii="黑体" w:hAnsi="黑体" w:eastAsia="黑体" w:cs="宋体"/>
                <w:color w:val="000000"/>
                <w:kern w:val="0"/>
                <w:sz w:val="18"/>
                <w:szCs w:val="18"/>
              </w:rPr>
            </w:pPr>
            <w:r>
              <w:rPr>
                <w:rFonts w:hint="eastAsia" w:ascii="黑体" w:hAnsi="黑体" w:eastAsia="黑体" w:cs="宋体"/>
                <w:color w:val="000000"/>
                <w:kern w:val="0"/>
                <w:sz w:val="18"/>
                <w:szCs w:val="18"/>
              </w:rPr>
              <w:t>全社会</w:t>
            </w:r>
          </w:p>
        </w:tc>
        <w:tc>
          <w:tcPr>
            <w:tcW w:w="167" w:type="pct"/>
            <w:vAlign w:val="center"/>
          </w:tcPr>
          <w:p>
            <w:pPr>
              <w:widowControl/>
              <w:spacing w:line="220" w:lineRule="exact"/>
              <w:jc w:val="left"/>
              <w:rPr>
                <w:rFonts w:ascii="黑体" w:hAnsi="黑体" w:eastAsia="黑体" w:cs="宋体"/>
                <w:color w:val="000000"/>
                <w:kern w:val="0"/>
                <w:sz w:val="18"/>
                <w:szCs w:val="18"/>
              </w:rPr>
            </w:pPr>
            <w:r>
              <w:rPr>
                <w:rFonts w:hint="eastAsia" w:ascii="黑体" w:hAnsi="黑体" w:eastAsia="黑体" w:cs="宋体"/>
                <w:color w:val="000000"/>
                <w:kern w:val="0"/>
                <w:sz w:val="18"/>
                <w:szCs w:val="18"/>
              </w:rPr>
              <w:t>特定群众</w:t>
            </w:r>
          </w:p>
        </w:tc>
        <w:tc>
          <w:tcPr>
            <w:tcW w:w="156" w:type="pct"/>
            <w:vAlign w:val="center"/>
          </w:tcPr>
          <w:p>
            <w:pPr>
              <w:widowControl/>
              <w:spacing w:line="220" w:lineRule="exact"/>
              <w:jc w:val="left"/>
              <w:rPr>
                <w:rFonts w:ascii="黑体" w:hAnsi="黑体" w:eastAsia="黑体" w:cs="宋体"/>
                <w:color w:val="000000"/>
                <w:kern w:val="0"/>
                <w:sz w:val="18"/>
                <w:szCs w:val="18"/>
              </w:rPr>
            </w:pPr>
            <w:r>
              <w:rPr>
                <w:rFonts w:hint="eastAsia" w:ascii="黑体" w:hAnsi="黑体" w:eastAsia="黑体" w:cs="宋体"/>
                <w:color w:val="000000"/>
                <w:kern w:val="0"/>
                <w:sz w:val="18"/>
                <w:szCs w:val="18"/>
              </w:rPr>
              <w:t>主动</w:t>
            </w:r>
          </w:p>
        </w:tc>
        <w:tc>
          <w:tcPr>
            <w:tcW w:w="167" w:type="pct"/>
            <w:vAlign w:val="center"/>
          </w:tcPr>
          <w:p>
            <w:pPr>
              <w:widowControl/>
              <w:spacing w:line="220" w:lineRule="exact"/>
              <w:jc w:val="left"/>
              <w:rPr>
                <w:rFonts w:ascii="黑体" w:hAnsi="黑体" w:eastAsia="黑体" w:cs="宋体"/>
                <w:color w:val="000000"/>
                <w:kern w:val="0"/>
                <w:sz w:val="18"/>
                <w:szCs w:val="18"/>
              </w:rPr>
            </w:pPr>
            <w:r>
              <w:rPr>
                <w:rFonts w:hint="eastAsia" w:ascii="黑体" w:hAnsi="黑体" w:eastAsia="黑体" w:cs="宋体"/>
                <w:color w:val="000000"/>
                <w:kern w:val="0"/>
                <w:sz w:val="18"/>
                <w:szCs w:val="18"/>
              </w:rPr>
              <w:t>依申请公开</w:t>
            </w:r>
          </w:p>
        </w:tc>
        <w:tc>
          <w:tcPr>
            <w:tcW w:w="183" w:type="pct"/>
            <w:vAlign w:val="center"/>
          </w:tcPr>
          <w:p>
            <w:pPr>
              <w:widowControl/>
              <w:spacing w:line="220" w:lineRule="exact"/>
              <w:jc w:val="left"/>
              <w:rPr>
                <w:rFonts w:ascii="黑体" w:hAnsi="黑体" w:eastAsia="黑体" w:cs="宋体"/>
                <w:color w:val="000000"/>
                <w:kern w:val="0"/>
                <w:sz w:val="18"/>
                <w:szCs w:val="18"/>
              </w:rPr>
            </w:pPr>
            <w:r>
              <w:rPr>
                <w:rFonts w:hint="eastAsia" w:ascii="黑体" w:hAnsi="黑体" w:eastAsia="黑体" w:cs="宋体"/>
                <w:color w:val="000000"/>
                <w:kern w:val="0"/>
                <w:sz w:val="18"/>
                <w:szCs w:val="18"/>
              </w:rPr>
              <w:t>县级</w:t>
            </w:r>
          </w:p>
        </w:tc>
        <w:tc>
          <w:tcPr>
            <w:tcW w:w="156" w:type="pct"/>
            <w:vAlign w:val="center"/>
          </w:tcPr>
          <w:p>
            <w:pPr>
              <w:widowControl/>
              <w:spacing w:line="220" w:lineRule="exact"/>
              <w:jc w:val="left"/>
              <w:rPr>
                <w:rFonts w:ascii="黑体" w:hAnsi="黑体" w:eastAsia="黑体" w:cs="宋体"/>
                <w:color w:val="000000"/>
                <w:kern w:val="0"/>
                <w:sz w:val="18"/>
                <w:szCs w:val="18"/>
              </w:rPr>
            </w:pPr>
            <w:r>
              <w:rPr>
                <w:rFonts w:hint="eastAsia" w:ascii="黑体" w:hAnsi="黑体" w:eastAsia="黑体" w:cs="宋体"/>
                <w:color w:val="000000"/>
                <w:kern w:val="0"/>
                <w:sz w:val="18"/>
                <w:szCs w:val="18"/>
              </w:rPr>
              <w:t>镇街</w:t>
            </w:r>
          </w:p>
        </w:tc>
        <w:tc>
          <w:tcPr>
            <w:tcW w:w="238" w:type="pct"/>
            <w:vAlign w:val="center"/>
          </w:tcPr>
          <w:p>
            <w:pPr>
              <w:widowControl/>
              <w:spacing w:line="220" w:lineRule="exact"/>
              <w:jc w:val="left"/>
              <w:rPr>
                <w:rFonts w:ascii="黑体" w:hAnsi="黑体" w:eastAsia="黑体" w:cs="宋体"/>
                <w:color w:val="000000"/>
                <w:kern w:val="0"/>
                <w:sz w:val="18"/>
                <w:szCs w:val="18"/>
              </w:rPr>
            </w:pPr>
            <w:r>
              <w:rPr>
                <w:rFonts w:hint="eastAsia" w:ascii="黑体" w:hAnsi="黑体" w:eastAsia="黑体" w:cs="宋体"/>
                <w:color w:val="000000"/>
                <w:kern w:val="0"/>
                <w:sz w:val="18"/>
                <w:szCs w:val="18"/>
              </w:rPr>
              <w:t>乡、村级</w:t>
            </w:r>
          </w:p>
        </w:tc>
        <w:tc>
          <w:tcPr>
            <w:tcW w:w="317" w:type="pct"/>
            <w:vMerge w:val="continue"/>
            <w:vAlign w:val="center"/>
          </w:tcPr>
          <w:p>
            <w:pPr>
              <w:widowControl/>
              <w:spacing w:line="220" w:lineRule="exact"/>
              <w:jc w:val="left"/>
              <w:rPr>
                <w:rFonts w:ascii="黑体" w:hAnsi="黑体" w:eastAsia="黑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对用人单位未按照规定实行有害作业与无害作业分开、工作场所与生活场所分开的；用人单位的主要负责人、职业卫生管理人员未接受职业卫生培训的违法行为的处罚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《工作场所职业卫生监督管理规定》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w:t>
            </w:r>
            <w:bookmarkStart w:id="0" w:name="_GoBack"/>
            <w:bookmarkEnd w:id="0"/>
            <w:r>
              <w:rPr>
                <w:rFonts w:hint="eastAsia" w:ascii="仿宋" w:hAnsi="仿宋" w:eastAsia="仿宋" w:cs="宋体"/>
                <w:color w:val="000000"/>
                <w:kern w:val="0"/>
                <w:sz w:val="18"/>
                <w:szCs w:val="18"/>
              </w:rPr>
              <w:t>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tcBorders>
              <w:bottom w:val="single" w:color="auto" w:sz="4" w:space="0"/>
            </w:tcBorders>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tcBorders>
              <w:bottom w:val="single" w:color="auto" w:sz="4" w:space="0"/>
            </w:tcBorders>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tcBorders>
              <w:bottom w:val="single" w:color="auto" w:sz="4" w:space="0"/>
            </w:tcBorders>
            <w:vAlign w:val="center"/>
          </w:tcPr>
          <w:p>
            <w:pPr>
              <w:widowControl/>
              <w:spacing w:line="220" w:lineRule="exact"/>
              <w:jc w:val="left"/>
              <w:rPr>
                <w:rFonts w:ascii="仿宋" w:hAnsi="仿宋" w:eastAsia="仿宋" w:cs="宋体"/>
                <w:b/>
                <w:bCs/>
                <w:color w:val="000000"/>
                <w:kern w:val="0"/>
                <w:sz w:val="18"/>
                <w:szCs w:val="18"/>
              </w:rPr>
            </w:pPr>
          </w:p>
        </w:tc>
        <w:tc>
          <w:tcPr>
            <w:tcW w:w="156" w:type="pct"/>
            <w:tcBorders>
              <w:bottom w:val="single" w:color="auto" w:sz="4" w:space="0"/>
            </w:tcBorders>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tcBorders>
              <w:bottom w:val="single" w:color="auto" w:sz="4" w:space="0"/>
            </w:tcBorders>
            <w:vAlign w:val="center"/>
          </w:tcPr>
          <w:p>
            <w:pPr>
              <w:widowControl/>
              <w:spacing w:line="220" w:lineRule="exact"/>
              <w:jc w:val="left"/>
              <w:rPr>
                <w:rFonts w:ascii="仿宋" w:hAnsi="仿宋" w:eastAsia="仿宋" w:cs="宋体"/>
                <w:color w:val="000000"/>
                <w:kern w:val="0"/>
                <w:sz w:val="18"/>
                <w:szCs w:val="18"/>
              </w:rPr>
            </w:pPr>
          </w:p>
        </w:tc>
        <w:tc>
          <w:tcPr>
            <w:tcW w:w="183" w:type="pct"/>
            <w:tcBorders>
              <w:bottom w:val="single" w:color="auto" w:sz="4" w:space="0"/>
            </w:tcBorders>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tcBorders>
              <w:bottom w:val="single" w:color="auto" w:sz="4" w:space="0"/>
            </w:tcBorders>
            <w:vAlign w:val="center"/>
          </w:tcPr>
          <w:p>
            <w:pPr>
              <w:widowControl/>
              <w:spacing w:line="220" w:lineRule="exact"/>
              <w:jc w:val="left"/>
              <w:rPr>
                <w:rFonts w:ascii="仿宋" w:hAnsi="仿宋" w:eastAsia="仿宋" w:cs="宋体"/>
                <w:color w:val="000000"/>
                <w:kern w:val="0"/>
                <w:sz w:val="18"/>
                <w:szCs w:val="18"/>
              </w:rPr>
            </w:pPr>
          </w:p>
        </w:tc>
        <w:tc>
          <w:tcPr>
            <w:tcW w:w="238" w:type="pct"/>
            <w:tcBorders>
              <w:bottom w:val="single" w:color="auto" w:sz="4" w:space="0"/>
            </w:tcBorders>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tcBorders>
              <w:bottom w:val="single" w:color="auto" w:sz="4" w:space="0"/>
            </w:tcBorders>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对有关单位向用人单位提供可能产生职业病危害的设备、材料，未按照规定提供中文说明书或者设置警示标识和中文警示说明的行为的处罚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《中华人民共和国职业病防治法》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tcBorders>
              <w:right w:val="single" w:color="auto" w:sz="4" w:space="0"/>
            </w:tcBorders>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宋体"/>
                <w:b/>
                <w:bCs/>
                <w:color w:val="000000"/>
                <w:kern w:val="0"/>
                <w:sz w:val="18"/>
                <w:szCs w:val="18"/>
              </w:rPr>
            </w:pPr>
          </w:p>
        </w:tc>
        <w:tc>
          <w:tcPr>
            <w:tcW w:w="156"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宋体"/>
                <w:color w:val="000000"/>
                <w:kern w:val="0"/>
                <w:sz w:val="18"/>
                <w:szCs w:val="18"/>
              </w:rPr>
            </w:pPr>
          </w:p>
        </w:tc>
        <w:tc>
          <w:tcPr>
            <w:tcW w:w="183"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宋体"/>
                <w:color w:val="000000"/>
                <w:kern w:val="0"/>
                <w:sz w:val="18"/>
                <w:szCs w:val="18"/>
              </w:rPr>
            </w:pPr>
          </w:p>
        </w:tc>
        <w:tc>
          <w:tcPr>
            <w:tcW w:w="238"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tcBorders>
              <w:right w:val="single" w:color="auto" w:sz="4" w:space="0"/>
            </w:tcBorders>
            <w:vAlign w:val="center"/>
          </w:tcPr>
          <w:p>
            <w:pPr>
              <w:widowControl/>
              <w:spacing w:line="220" w:lineRule="exact"/>
              <w:jc w:val="left"/>
              <w:rPr>
                <w:rFonts w:ascii="仿宋" w:hAnsi="仿宋" w:eastAsia="仿宋" w:cs="宋体"/>
                <w:color w:val="000000"/>
                <w:kern w:val="0"/>
                <w:sz w:val="18"/>
                <w:szCs w:val="18"/>
              </w:rPr>
            </w:pPr>
          </w:p>
        </w:tc>
        <w:tc>
          <w:tcPr>
            <w:tcW w:w="514"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宋体"/>
                <w:b/>
                <w:bCs/>
                <w:color w:val="000000"/>
                <w:kern w:val="0"/>
                <w:sz w:val="18"/>
                <w:szCs w:val="18"/>
              </w:rPr>
            </w:pPr>
          </w:p>
        </w:tc>
        <w:tc>
          <w:tcPr>
            <w:tcW w:w="156"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宋体"/>
                <w:color w:val="000000"/>
                <w:kern w:val="0"/>
                <w:sz w:val="18"/>
                <w:szCs w:val="18"/>
              </w:rPr>
            </w:pPr>
          </w:p>
        </w:tc>
        <w:tc>
          <w:tcPr>
            <w:tcW w:w="183"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宋体"/>
                <w:color w:val="000000"/>
                <w:kern w:val="0"/>
                <w:sz w:val="18"/>
                <w:szCs w:val="18"/>
              </w:rPr>
            </w:pPr>
          </w:p>
        </w:tc>
        <w:tc>
          <w:tcPr>
            <w:tcW w:w="238"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对已经取得资质认可的职业卫生技术服务机构，不再符合《职业卫生技术服务机构监督管理暂行办法》规定的资质条件的违法行为的处罚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《职业卫生技术服务机构监督管理暂行办法》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tcBorders>
              <w:right w:val="single" w:color="auto" w:sz="4" w:space="0"/>
            </w:tcBorders>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宋体"/>
                <w:b/>
                <w:bCs/>
                <w:color w:val="000000"/>
                <w:kern w:val="0"/>
                <w:sz w:val="18"/>
                <w:szCs w:val="18"/>
              </w:rPr>
            </w:pPr>
          </w:p>
        </w:tc>
        <w:tc>
          <w:tcPr>
            <w:tcW w:w="156"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宋体"/>
                <w:color w:val="000000"/>
                <w:kern w:val="0"/>
                <w:sz w:val="18"/>
                <w:szCs w:val="18"/>
              </w:rPr>
            </w:pPr>
          </w:p>
        </w:tc>
        <w:tc>
          <w:tcPr>
            <w:tcW w:w="183"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宋体"/>
                <w:color w:val="000000"/>
                <w:kern w:val="0"/>
                <w:sz w:val="18"/>
                <w:szCs w:val="18"/>
              </w:rPr>
            </w:pPr>
          </w:p>
        </w:tc>
        <w:tc>
          <w:tcPr>
            <w:tcW w:w="238"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tcBorders>
              <w:top w:val="single" w:color="auto" w:sz="4" w:space="0"/>
            </w:tcBorders>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tcBorders>
              <w:top w:val="single" w:color="auto" w:sz="4" w:space="0"/>
            </w:tcBorders>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tcBorders>
              <w:top w:val="single" w:color="auto" w:sz="4" w:space="0"/>
            </w:tcBorders>
            <w:vAlign w:val="center"/>
          </w:tcPr>
          <w:p>
            <w:pPr>
              <w:widowControl/>
              <w:spacing w:line="220" w:lineRule="exact"/>
              <w:jc w:val="left"/>
              <w:rPr>
                <w:rFonts w:ascii="仿宋" w:hAnsi="仿宋" w:eastAsia="仿宋" w:cs="宋体"/>
                <w:b/>
                <w:bCs/>
                <w:color w:val="000000"/>
                <w:kern w:val="0"/>
                <w:sz w:val="18"/>
                <w:szCs w:val="18"/>
              </w:rPr>
            </w:pPr>
          </w:p>
        </w:tc>
        <w:tc>
          <w:tcPr>
            <w:tcW w:w="156" w:type="pct"/>
            <w:tcBorders>
              <w:top w:val="single" w:color="auto" w:sz="4" w:space="0"/>
            </w:tcBorders>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tcBorders>
              <w:top w:val="single" w:color="auto" w:sz="4" w:space="0"/>
            </w:tcBorders>
            <w:vAlign w:val="center"/>
          </w:tcPr>
          <w:p>
            <w:pPr>
              <w:widowControl/>
              <w:spacing w:line="220" w:lineRule="exact"/>
              <w:jc w:val="left"/>
              <w:rPr>
                <w:rFonts w:ascii="仿宋" w:hAnsi="仿宋" w:eastAsia="仿宋" w:cs="宋体"/>
                <w:color w:val="000000"/>
                <w:kern w:val="0"/>
                <w:sz w:val="18"/>
                <w:szCs w:val="18"/>
              </w:rPr>
            </w:pPr>
          </w:p>
        </w:tc>
        <w:tc>
          <w:tcPr>
            <w:tcW w:w="183" w:type="pct"/>
            <w:tcBorders>
              <w:top w:val="single" w:color="auto" w:sz="4" w:space="0"/>
            </w:tcBorders>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tcBorders>
              <w:top w:val="single" w:color="auto" w:sz="4" w:space="0"/>
            </w:tcBorders>
            <w:vAlign w:val="center"/>
          </w:tcPr>
          <w:p>
            <w:pPr>
              <w:widowControl/>
              <w:spacing w:line="220" w:lineRule="exact"/>
              <w:jc w:val="left"/>
              <w:rPr>
                <w:rFonts w:ascii="仿宋" w:hAnsi="仿宋" w:eastAsia="仿宋" w:cs="宋体"/>
                <w:color w:val="000000"/>
                <w:kern w:val="0"/>
                <w:sz w:val="18"/>
                <w:szCs w:val="18"/>
              </w:rPr>
            </w:pPr>
          </w:p>
        </w:tc>
        <w:tc>
          <w:tcPr>
            <w:tcW w:w="238" w:type="pct"/>
            <w:tcBorders>
              <w:top w:val="single" w:color="auto" w:sz="4" w:space="0"/>
            </w:tcBorders>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tcBorders>
              <w:top w:val="single" w:color="auto" w:sz="4" w:space="0"/>
            </w:tcBorders>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对为安全生产工作提供服务的机构为生产经营单位提供检测、检验、认证、评价、教育培训、咨询等服务时弄虚作假的行为的处罚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《安全评价检测检验机构管理办法》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对用人单位有关事项发生重大变化，未按照《职业病危害项目申报办法》的规定申报变更职业病危害项目内容的违法行为的处罚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《职业病危害项目申报办法》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对职业卫生技术服务机构有《职业卫生技术服务机构监督管理暂行办法》第四十五条规定的违法行为的处罚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《职业卫生技术服务机构监督管理暂行办法》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对建设单位《建设项目职业病防护设施“三同时”监督管理办法》第四十一条规定的违法行为的处罚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《建设项目职业病防护设施“三同时”监督管理办法》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对建设单位《建设项目职业病防护设施“三同时”监督管理办法》第四十二条规定的违法行为的处罚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《建设项目职业病防护设施“三同时”监督管理办法》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对建设单位《建设项目职业病防护设施“三同时”监督管理办法》第四十条规定的违法行为的处罚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《建设项目职业病防护设施“三同时”监督管理办法》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对用人单位违反《职业病防治法》规定，已经对劳动者生命健康造成严重损害的行为的处罚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《中华人民共和国职业病防治法》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对建设单位有《职业病防治法》第六十九条第一、三、四、五、六款规定的违法行为的处罚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《中华人民共和国职业病防治法》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对技术服务机构未取得职业卫生技术服务资质认可擅自从事职业卫生技术服务的行为的处罚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《中华人民共和国职业病防治法》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对职业卫生专职技术人员同时在两个以上职业卫生技术服务机构从业的违法行为的处罚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《职业卫生技术服务机构监督管理暂行办法》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对用人单位有《工作场所职业卫生监督管理规定》第五十二条规定的违法行为的处罚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《工作场所职业卫生监督管理规定》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对用人单位有《工作场所职业卫生监督管理规定》第四十九条规定的违法行为的处罚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《工作场所职业卫生监督管理规定》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对用人单位未按照规定报告职业病、疑似职业病时弄虚作假的行为的处罚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《中华人民共和国职业病防治法》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对用人单位存在《职业病防治法》第七十二条规定的违法行为的处罚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《中华人民共和国职业病防治法》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对用人单位有《职业病防治法》第七十一条规定的违法行为的处罚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《中华人民共和国职业病防治法》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对用人单位有《职业病防治法》第七十条规定的违法行为的处罚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《中华人民共和国职业病防治法》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对用人单位未按照规定报告职业病、疑似职业病的行为的处罚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《中华人民共和国职业病防治法》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及其工作人员违反规定实施约束、隔离等保护性医疗措施的，强迫精神障碍患者劳动的，对精神障碍患者实施外科手术或者实验性临床医疗的，侵害精神障碍患者的通讯和会见探访者等权利的，违反精神障碍诊断标准，将非精神障碍患者诊断为精神障碍患者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《中华人民共和国精神卫生法》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违反规定，护士的配备数量低于国务院卫生主管部门规定的护士配备标准的，允许未取得护士执业证书的人员或者允许未依照规定办理执业地点变更手续、延续执业注册有效期的护士在本机构从事诊疗技术规范规定的护理活动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《护士条例》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乡村医生在执业活动中，执业活动超出规定的执业范围，或者未按照规定进行转诊的；违反规定使用乡村医生基本用药目录以外的处方药品的；违反规定出具医学证明，或者伪造卫生统计资料的；发现传染病疫情、中毒事件不按规定报告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《乡村医生从业管理条例》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血站、单采血浆站对采集的人体血液、血浆未进行艾滋病检测，或者发现艾滋病检测阳性的人体血液、血浆仍然采集的，将未经艾滋病检测的人体血液、血浆，或者艾滋病检测阳性的人体血液、血浆供应给医疗机构和血液制品生产单位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《艾滋病防治条例》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三级、四级实验室未依照《病原微生物实验室生物安全管理条例》的规定取得从事高致病性病原微生物实验活动的资格证书，或者已经取得相关资格证书但是未经批准从事某种高致病性病原微生物或者疑似高致病性病原微生物实验活动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《病原微生物实验室生物安全管理条例》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心理咨询人员从事心理治疗或者精神障碍的诊断治疗、从事心理治疗的人员在医疗机构以外开展心理治疗活动、专门从事心理治疗的人员从事精神障碍的诊断、专门从事心理治疗的人员为精神障碍患者开具处方或者提供外科治疗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《精神卫生法》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未按照规定承担本单位的传染病预防、控制工作、医院感染控制任务和责任区域内的传染病预防、未报告传染病疫情、泄露传染病病人、病原携带者、疑似传染病病人、密切接触者涉及个人隐私的有关信息、资料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《传染病防治法》、《艾滋病防治条例》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师违反卫生行政规章制度或者技术操作规范，造成严重后果的；由于不负责任延误急危患者的抢救和诊治，造成严重后果的；造成医疗责任事故的；未经亲自诊查、调查，签署诊断、治疗、流行病学等证明文件或者有关出生、死亡等证明文件的；隐匿、伪造或者擅自销毁医学文书及有关资料的；使用未经批准使用的药品、消毒药剂和医疗器械的；不按照规定使用麻醉药品、医疗用毒性药品、精神药品和放射性药品的；未经患者或者其家属同意，对患者进行实验性临床医疗的；泄露患者隐私，造成严重后果的；利用职务之便，索取、非法收受患者财物或者牟取其他不正当利益的；发生自然灾害、传染病流行、突发重大伤亡事故以及其他严重威胁人民生命健康的紧急情况时，不服从卫生行政部门调遣的；发生医疗事故或者发现传染病疫情，患者涉嫌伤害事件或者非正常死亡，不按照规定报告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《执业医师法》、《处方管理办法》、《台湾地区医师在大陆短期行医管理规定》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疾病预防控制机构和医疗机构及其人员未依法履行疫情报告职责，隐瞒、缓报或者谎报的，拒绝服从卫生行政部门调遣的，未按照规定及时采取预防控制措施的，拒绝接诊病人或者疑似病人的，未按照规定履行监测职责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《传染性非典型肺炎防治管理办法》、《传染病防治法》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从事职业卫生技术服务的机构和承担职业健康检查、职业病诊断的医疗卫生机构超出资质认可或者批准范围从事职业卫生技术服务或者职业病诊断的，不按照本法规定履行法定职责的，出具虚假证明文件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《中华人民共和国职业病防治法》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对餐具、饮具集中消毒服务单位违反《食品安全法》规定用水，使用洗涤剂、消毒剂，或者出厂的餐具、饮具未按规定检验合格并随附消毒合格证明，或者未按规定在独立包装上标注相关内容的行为的行政处罚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《食品安全法》、《餐具、饮具集中消毒服务单位卫生监督工作规范》</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对医疗机构未建立抗菌药物管理规章制度、抗菌药物临床应用管理混乱、未执行抗菌药物分级管理、医师抗菌药物处方权限管理、药师抗菌药物调剂资格管理或者未配备相关专业技术人员的行为的行政处罚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《抗菌药物临床应用管理办法》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对发生麻醉药品和精神药品被盗、被抢、丢失案件的单位 违反《麻醉药品和精神药品管理条例》的规定未采取必要的控制措施或者未依照《麻醉药品和精神药品管理条例》的规定报告的行为的行政处罚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《麻醉药品和精神药品管理条例》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对实施人体器官移植手术的医疗机构及其医务人员违反《人体器官移植条例》规定，未对人体器官捐献人进行医学检查或者未采取措施，导致接受人因人体器官移植手术感染疾病的行为的行政处罚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《人体器官移植条例》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对医疗卫生机构、医疗废物集中处置单位未按照的规定对污水、传染病病人或者疑似传染病病人的排泄物，进行严格消毒，或者未达到国家规定的排放标准，排入污水处理系统的行为的行政处罚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《医疗废物管理条例》、《医疗废物管理行政处罚办法》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对职业病诊断机构未建立职业病诊断管理制度、不按照规定向劳动者公开职业病诊断程序、泄露劳动者涉及个人隐私的有关信息、资料等违反《职业病诊断与鉴定管理办法》的行为的行政处罚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《职业病诊断与鉴定管理办法》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对医疗机构未取得放射诊疗许可从事放射诊疗工作的，未办理诊疗科目登记或者未按照规定进行校验的，未经批准擅自变更放射诊疗项目或者超出批准范围从事放射诊疗工作的行为的行政处罚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《放射诊疗管理规定》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医疗机构未经批准，擅自对病因不明并具有传染病特征的病人尸体进行解剖查验；未按规定采取有效的消毒、防护、隔离等措施；查验机构及其工作人员出具虚假查验报告的行为的行政处罚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《传染病防治法》、《医疗机构管理条例》、《传染病病人或疑似传染病病人尸体解剖查验规定》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对医师未按照《抗菌药物临床应用管理办法》规定开具抗菌药物处方、使用未经国家药品监督管理部门批准的抗菌药物、使用本机构抗菌药物供应目录以外的品种、品规的行为的行政处罚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《抗菌药物临床应用管理办法》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40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对未经卫生调查进行施工或者未按照疾病预防控制机构的意见采取必要的传染病预防、控制措施在国家确认的自然疫源地兴建水利、交通、旅游、能源等大型建设项目的行为的行政处罚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《中华人民共和国传染病防治法》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41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对执业医师违反《麻醉药品和精神药品管理条例》的规定开具麻醉药品和第一类精神药品处方，或者未按照临床应用指导原则的要求使用麻醉药品和第一类精神药品的行为的行政处罚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《麻醉药品和精神药品管理条例》、《处方管理办法》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42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对公共场所的经营者未查验服务人员的健康合格证明或者允许未取得健康合格证明的人员从事服务工作、未在确定的公共场所内放置安全套或者设置安全套发售设施的行为的行政处罚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《艾滋病防治条例》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43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对检疫传染病病人、疑似检疫传染病病人以及与其密切接触者隐瞒真实情况、逃避交通卫生检疫的，拒绝接受交通卫生检疫和必要的卫生处理对疾病预防控制机构的行为的行政处罚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《突发公共卫生事件交通应急规定》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44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对疾病预防控制机构未依法履行传染病监测职责、通报疫情、故意泄露传染病病人、病原携带者、疑似传染病病人、密切接触者涉及个人隐私的有关信息、资料的行为的行政处罚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《艾滋病防治条例》、《传染病防治法》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45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接种单位接收或者购进疫苗时未依照规定索要温度监测记录，接收、购进不符合要求的疫苗，或者未依照规定报告的，未依照规定建立并保存真实、完整的疫苗接收或者购进记录的，未在其接种场所的显著位置公示第一类疫苗的品种和接种方法的，医疗卫生人员在接种前，未依照本条例规定告知、询问受种者或者其监护人有关情况的，实施预防接种的医疗卫生人员未依照规定填写并保存接种记录的，未依照规定对接种疫苗的情况进行登记并报告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《疫苗流通和预防接种管理条例》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46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对有关单位和人员对传染性非典型肺炎病原体污染的污水、污物、粪便不按规定进行消毒处理，生产、经营、使用消毒产品、隔离防护用品等不符合规定与标准的行为的行政处罚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《传染性非典型肺炎防治管理办法》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47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对未按照核准登记的医学检查科下设专业诊疗科目开展临床检验工作、未按照相关规定擅自新增医学检验科下设专业、超出已登记的专业范围开展临床检验工作的行为的行政处罚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《医疗机构临床实验室管理办法》（卫医发〔2006〕73号）</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48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对医疗机构未建立传染病疫情报告制度、未指定相关部门和人员负责传染病疫情报告管理工作、瞒报、缓报、谎报发现的传染病病人、病原携带者、疑似病人的行为的行政处罚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《突发公共卫生事件与传染病疫情监测信息报告管理办法》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49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对医疗机构违反《放射诊疗管理规定》购置、使用不合格或国家有关部门规定淘汰的放射诊疗设备、未按照规定使用安全防护装置和个人防护用品违反《放射诊疗管理规定》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《放射诊疗管理规定》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50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对拒绝接受卫生主管部门、兽医主管部门依法开展有关高致病性病原微生物扩散的调查取证、采集样品等活动或者依照本条例规定采取有关预防、控制措施的行为的行政处罚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《病原微生物实验室生物安全管理条例》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51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对放射工作单位的工作场所职业病危害因素检测、评价结果、职业病防治管理措施、劳动者个人职业病防护、职业病危害有关的化学材料未按照规定执行的行为的行政处罚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《中华人民共和国职业病防治法》、《放射工作人员职业健康管理办法》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52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对普通高等学校、中等专业学校、技工学校、农业中学、职业中学组织学生参加生产劳动接触有毒有害物质、未按要求提供保健待遇和定期进行体检的行为的行政处罚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《学校卫生工作条例》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53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对医疗卫生机构未按照本办法规定履行职责，导致托幼机构发生突发公共卫生事件的行为的行政处罚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《托儿所幼儿园卫生保健管理办法》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54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对采供血机构未按照规定报告传染病疫情，或者隐瞒、谎报、缓报传染病疫情，或者未执行国家有关规定，导致因输入血液引起经血液传播疾病发生的行为的行政处罚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《中华人民共和国传染病防治法》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55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对医疗机构使用未取得抗菌药物处方权的医师或者使用被取消抗菌药物处方权的医师开具抗菌药物处方、未对抗菌药物处方、医嘱实施适宜性审核的行为的行政处罚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《抗菌药物临床应用管理办法》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56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对医疗机构及其工作人员拒绝对送诊的疑似精神障碍患者作出诊断、对依法实施住院治疗的患者未及时进行检查评估或者未根据评估结果作出处理的行为的行政处罚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《中华人民共和国精神卫生法》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57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对疾病预防控制机构、医疗机构和从事病原微生物实验的单位，不符合国家规定的条件和技术标准，对传染病病原体样本未按照规定进行严格管理的行为的行政处罚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《中华人民共和国传染病防治法》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58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对医疗机构诊疗活动超出核准登记范围、未建立相应规章制度、未按要求书写并妥善保管病历资料等违反《广东省医疗纠纷预防与处理办法》的行为的行政处罚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《医疗机构管理条例》、《医疗机构管理条例实施细则》</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59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对集中式供水单位安排未取得体检合格证的人员从事直接供、管水工作或安排患有有碍饮用水卫生疾病的或病原携带者从事直接供、管水工作的行为的行政处罚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《生活饮用水卫生监督管理办法》（2016年修正）</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60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对职业卫生技术服务机构超出资质认可或者批准范围从事职业卫生技术服务的；不按照《职业病防治法》规定履行法定职责的；出具虚假证明文件行为的处罚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《中华人民共和国职业病防治法》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61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对非法为他人施行计划生育手术、非医学需要的胎儿性别鉴定、选择性别的人工终止妊娠、进行假医学鉴定、出具假计划生育证明违法行为的行为的行政处罚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《广东省人口与计划生育条例》、《中华人民共和国人口与计划生育法》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62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对从事人体器官移植的医务人员违反《人体器官移植条例》规定，泄露人体器官捐献人、接受人或者申请人体器官移植手术患者个人资料的行为的行政处罚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《人体器官移植条例》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63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对中医医疗机构不符合中医医疗机构设置标准、获得城镇职工基本医疗保险定点医疗机构资格未按照规定向参保人员提供基本医疗服务的行为的行政处罚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《中华人民共和国中医药条例》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64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对医疗卫生机构的环境、物品、排放废弃的污水、污物、运送传染病病人及其污染物品的车辆、工具不符合国家有关规范、标准和规定的行为的行政处罚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《消毒管理办法》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65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对医疗机构使用未取得处方权的人员、被取消处方权的医师开具处方、使用未取得药学专业技术职务任职资格的人员从事处方调剂工作的行为的行政处罚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《处方管理办法》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66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对医疗卫生机构、医疗废物集中处置单位未对从事医疗废物收集、运送、贮存、处置等工作的人员和管理人员采取职业卫生防护措施的行为的行政处罚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《医疗废物管理条例》、《医疗废物管理行政处罚办法》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67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对医疗卫生机构、医疗废物集中处置单位发生医疗废物流失、泄漏、扩散时，未采取紧急处理措施，或者未及时向卫生行政主管部门的行为的行政处罚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《医疗废物管理条例》、《医疗废物管理行政处罚办法》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68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对医疗卫生机构、医疗废物集中处置单位对收治的传染病病人或者疑似传染病病人产生的生活垃圾，未按照医疗废物进行管理和处置的行为的行政处罚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《医疗废物管理条例》、《医疗废物管理行政处罚办法》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69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对护士在性病诊疗活动中违反本办法规定泄露患者隐私或者发现医嘱违反法律、法规、规章、诊疗技术规范未按照规定提出或者报告的行为的行政处罚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《护士条例》、《性病防治管理办法》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70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对违反《广东省查处生产销售假冒伪劣商品违法行为条例》第二十条规定，擅自启封、转移、使用、改动、销毁、销售被查封物品的行为的行政处罚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《广东省查处生产销售假冒伪劣商品违法行为条例》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71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对医疗机构的放射工作许可登记证件过期或者超许可登记范围使用、储存放射性同位素与射线装置造成放射事故，尚不构成犯罪的行为的行政处罚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《放射事故管理规定》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72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对医疗卫生机构、医疗废物集中处置单位未使用符合标准的专用车辆运送医疗废物或者使用运送医疗废物的车辆运送其他物品的行为的行政处罚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《医疗废物管理条例》、《医疗废物管理行政处罚办法》)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73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对托幼机构未按要求设立保健室、卫生室或者配备卫生保健人员、招收未经健康检查或健康检查不合格的儿童入托幼机构</w:t>
            </w:r>
            <w:r>
              <w:rPr>
                <w:rFonts w:hint="eastAsia" w:ascii="仿宋" w:hAnsi="仿宋" w:eastAsia="仿宋" w:cs="宋体"/>
                <w:color w:val="000000"/>
                <w:kern w:val="0"/>
                <w:sz w:val="18"/>
                <w:szCs w:val="18"/>
                <w:lang w:eastAsia="zh-CN"/>
              </w:rPr>
              <w:t>的</w:t>
            </w:r>
            <w:r>
              <w:rPr>
                <w:rFonts w:hint="eastAsia" w:ascii="仿宋" w:hAnsi="仿宋" w:eastAsia="仿宋" w:cs="宋体"/>
                <w:color w:val="000000"/>
                <w:kern w:val="0"/>
                <w:sz w:val="18"/>
                <w:szCs w:val="18"/>
              </w:rPr>
              <w:t>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《托儿所幼儿园卫生保健管理办法》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74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对经依法批准从事高致病性病原微生物相关实验活动的实验室的设立单位未建立健全安全保卫制度，或者未采取安全保卫措施的行为的行政处罚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《病原微生物实验室生物安全管理条例》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75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对计划生育技术服务机构和从事计划生育技术服务的医疗、保健机构在开展计划生育技术服务时出具虚假证明文件、做假手术的行为的行政处罚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《计划生育技术服务管理条例》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76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对饮用水供水单位供应的饮用水、涉及饮用水卫生安全的产品、用于传染病防治的消毒产品不符合国家卫生标准和卫生规范的行为的行政处罚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《生活饮用水卫生监督管理办法》、《消毒管理办法》、《中华人民共和国传染病防治法实施办法》、《中华人民共和国传染病防治法》)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77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对医疗机构将未达到国家规定标准的污水、传染病病人或者疑似传染病病人的排泄物排入城市排水管网的，造成传染病传播的行为的行政处罚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《医疗废物管理条例》、《医疗废物管理行政处罚办法》)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78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对生产经营无生产企业卫生许可证或新消毒产品卫生许可批准文件的、产品卫生安全评价不合格或产品卫生质量不符合要求的行为的行政处罚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《消毒管理办法》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79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对医疗机构违规摘取人体器官、摘取活体器官、对摘取器官完毕的尸体未进行符合伦理原则的医学处理，恢复尸体原貌的行为的行政处罚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《人体器官移植条例》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80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对违反《病原微生物实验室生物安全管理条例》规定，在不符合相应生物安全要求的实验室从事病原微生物相关实验活动的行为的行政处罚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《病原微生物实验室生物安全管理条例》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81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对医疗卫生机构、医疗废物集中处置单位未对有关人员进行相关法律和专业技术、安全防护以及紧急处理等知识的培训的行为的行政处罚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《医疗废物管理条例》、《医疗废物管理行政处罚办法》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82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对医疗卫生机构、医疗废物集中处置单位对使用后的医疗废物运送工具或者运送车辆未在指定地点及时进行消毒和清洁的行为的行政处罚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《医疗废物管理条例》、《医疗废物管理行政处罚办法》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83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对医疗机构或者其他有关机构承担尸检任务的机构没有正当理由，拒绝进行尸检的；涂改、伪造、隐匿、销毁病历资料的行为的行政处罚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《医疗事故处理条例》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84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对医疗卫生机构未按照医疗废物进行管理和处置医疗废物、污水、传染病病人和疑似传染病病人的排泄物、生活垃圾的行为的行政处罚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《医疗废物管理条例》《医疗废物管理行政处罚办法》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85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对医疗机构违反《人体器官移植技术临床应用管理暂行规定》第二章规定，未经诊疗科目登记擅自开展人体器官移植的行为的行政处罚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《卫生部关于印发&lt;人体器官移植技术临床应用管理暂行规定&gt;的通知》（医发〔2006〕94号）、《医疗机构管理条例》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86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对医疗废物集中处置单位未对从事医疗废物收集、运送、贮存、处置等工作的人员和管理人员采取职业卫生防护措施的行为的行政处罚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《医疗废物管理条例》、《医疗废物管理行政处罚办法》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87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对疾病预防控制机构、接种单位以外的单位或者个人违反《疫苗流通和预防接种管理条例》规定进行群体性预防接种的行为的行政处罚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《疫苗流通和预防接种管理条例》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88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对医疗卫生机构未制定、实施本机构护士在职培训计划或者未保证护士接受培训的，未依照规定履行护士管理职责的行为的行政处罚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《护士条例》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89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对学校教室建筑、环境噪声、室内微小气候、采光、照明等环境质量以及黑板、课桌椅的设置不符合国家有关标准的行为的行政处罚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《学校卫生工作条例》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90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对无资质从事婚前医学检查、遗传病诊断、产前诊断或者医学技术鉴定、施行终止妊娠手术、出具有关医学证明的行为的行政处罚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《中华人民共和国母婴保健法》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91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对疾病预防控制机构、接种单位、疫苗生产企业、接受委托配送疫苗的企业未在规定的冷藏条件下储存、运输疫苗的行为的行政处罚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《疫苗流通和预防接种管理条例》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92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对医疗卫生机构未依照《突发公共卫生事件应急条例》的规定履行职责、拒不服从突发事件应急处理指挥部调度的行为的行政处罚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《突发公共卫生事件应急条例》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93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对医疗机构、疾病预防控制机构发现急性血吸虫病疫情或者接到急性血吸虫病暴发、流行报告时未及时采取措施的行为的行政处罚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《血吸虫病防治条例》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94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对生产、销售《广东省查处生产销售假冒伪劣商品违法行为条例》第十条第一、二、三、四、五、六项所列商品的行为的行政处罚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《广东省查处生产销售假冒伪劣商品违法行为条例》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95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对生产、销售《广东省查处生产销售假冒伪劣商品违法行为条例》第十条第八、九、十、十一、十二项所列商品的行为的行政处罚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《广东省查处生产销售假冒伪劣商品违法行为条例》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96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对职业健康检查机构未指定主检医师或者指定的主检医师未取得职业病诊断资格的，未建立职业健康检查档案的行为的行政处罚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《职业健康检查管理办法》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97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对医疗卫生机构、医疗废物集中处置单位在医疗废物管理中未将医疗废物按照类别分置于专用包装物或者容器的行为的行政处罚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《医疗卫生机构医疗废物管理办法》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98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对未取得职业卫生技术服务资质认可擅自从事职业卫生技术服务、医疗卫生机构未经批准擅自从事职业病诊断的行为的行政处罚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《中华人民共和国职业病防治法》、《职业病诊断与鉴定管理办法》、《职业健康检查管理办法》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p>
            <w:pPr>
              <w:widowControl/>
              <w:spacing w:line="220" w:lineRule="exact"/>
              <w:jc w:val="left"/>
              <w:rPr>
                <w:rFonts w:ascii="仿宋" w:hAnsi="仿宋" w:eastAsia="仿宋"/>
                <w:sz w:val="18"/>
                <w:szCs w:val="18"/>
              </w:rPr>
            </w:pP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99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对实验室负责人、实验室工作人员、负责实验室感染控制的专门机构或者人员未依照规定报告、采取控制措施的行为的行政处罚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《病原微生物实验室生物安全管理条例》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100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对医疗机构未取得放射工作许可登记证件使用、储存放射性同位素与射线装置造成放射事故且尚不构成犯罪的行为的行政处罚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《放射事故管理规定》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101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对计划生育技术服务机构使用没有依法取得《计划生育技术服务人员合格证》的人员从事计划生育技术服务的行为的行政处罚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《计划生育技术服务管理条例实施细则》</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102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对放射工作单位未按照规定组织职业健康检查、未建立职业健康监护档案或者未将检查结果如实告知劳动者的行为的行政处罚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.《中华人民共和国职业病防治法》 、《放射工作人员职业健康管理办法》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103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对执业医师未按照临床应用指导原则的要求使用第二类精神药品 或者未使用专用处方开具第二类精神药品的行为的行政处罚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《麻醉药品和精神药品管理条例》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104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对医务人员违规摘取人体器官、摘取活体器官、对摘取器官完毕的尸体未进行符合伦理原则的医学处理的行为的行政处罚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《人体器官移植条例》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105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对医疗卫生机构、医疗废物集中处置单位在医疗废物管理中贮存设施或者设备不符合环境保护、卫生要求的行为的行政处罚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《医疗废物管理条例》《医疗废物管理行政处罚办法》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106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对乡村医生在执业活动中，违反规定进行实验性临床医疗活动，或者重复使用一次性医疗器械和卫生材料的行为的行政处罚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《乡村医生从业管理条例》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107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对从事计划生育技术服务的人员擅自增加计划生育技术服务项目或在执业的机构外从事计划生育技术服务的行为的行政处罚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《计划生育技术服务管理条例》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108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对药师未按照规定审核、调剂抗菌药物处方，情节严重的；未按照规定私自增加抗菌药物品种或者品规的行为的行政处罚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《抗菌药物临床应用管理办法》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109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对公共场所经营者对发生的危害健康事故未立即采取处置措施，导致危害扩大，或者隐瞒、缓报、谎报的行为的行政处罚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《公共场所卫生管理条例实施细则》</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110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对餐具、饮具集中消毒服务单位拒绝、阻挠、干涉卫生计生行政部门及其工作人员依法开展监督检查的行为的行政处罚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《食品安全法》、《餐具、饮具集中消毒服务单位卫生监督工作规范》</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111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对用于传染病防治的消毒产品不符合国家卫生标准和卫生规范导致或者可能导致传染病传播、流行的行为的行政处罚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《传染病防治法》、《传染病防治法实施办法》、《消毒管理办法》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112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对医疗机构自行建有医疗废物处置设施但未定期对医疗废物处置设施的卫生学效果进行检测、评价的行为的行政处罚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《医疗卫生机构医疗废物管理办法》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113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对未取得麻醉药品和第一类精神药品处方资格的执业医师擅自开具麻醉药品和第一类精神药品处方的行为的行政处罚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《麻醉药品和精神药品管理条例》、《处方管理办法》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114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对伪造、变造、买卖计划生育证明的；使用虚假计划生育证明的；以不正当手段取得计划生育证明的行为的行政处罚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《广东省人口与计划生育条例》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115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对托幼机构未按照规定履行卫生保健工作职责，造成传染病流行、食物中毒等突发公共卫生事件的行为的行政处罚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《托儿所幼儿园卫生保健管理办法》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116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对从事计划生育技术服务的机构和人员未经批准擅自从事产前诊断和使用辅助生育技术治疗不育症的行为的行政处罚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《计划生育技术服务管理条例实施细则》、《计划生育技术服务管理条例》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117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对提供、使用未经出入境检验检疫机构检疫的进口人体血液、血浆、组织、器官、细胞、骨髓等的行为的行政处罚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《艾滋病防治条例》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118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对中外各方未经批准成立中外合资、合作医疗机构并开展医疗活动或以合同方式经营诊疗项目的行为的行政处罚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《中外合资、合作医疗机构管理暂行办法》、《医疗机构管理条例》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119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对医务人员未遵守诊疗护理规范、未履行如实告知义务、丢失、隐匿、伪造或者销毁病历资料的行为的行政处罚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《广东省医疗纠纷预防与处理办法》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120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对医疗卫生机构未为护士提供卫生防护用品，或者未采取有效的卫生防护措施、医疗保健措施的行为的行政处罚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《护士条例》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121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对学校为学生设置厕所不符合国家规定，无洗手设施，寄宿学校无学生洗漱、洗澡等卫生设施的行为的行政处罚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《学校卫生工作条例》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122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对未取得产前诊断类母婴保健技术考核合格证书的个人，擅自从事产前诊断或超越许可范围的行为的行政处罚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《产前诊断技术管理办法》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123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对台湾医师未取得《台湾医师短期行医执业证书》行医或者未按照注册的有效期从事诊疗活动的行为的行政处罚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《台湾地区医师在大陆短期行医管理规定》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124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对计划生育技术服务机构或者医疗、保健机构以外的机构或者人员擅自从事计划生育技术服务的行为的行政处罚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《计划生育技术服务管理条例》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125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对港澳医师未取得《港澳医师短期行医执业证书》行医或者未按照注册的有效期从事诊疗活动的行为的行政处罚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《香港、澳门特别行政区医师在内地短期行医管理规定》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126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对未按照规定对公共场所进行卫生检测和未按照规定对顾客用品用具进行清洗、消毒、保洁的行为的行政处罚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《公共场所卫生管理条例实施细则》</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127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对使用后的一次性医疗用品、一次性医疗器械、输液瓶、产妇胎盘不按规定进行收集、处理的行为的行政处罚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《广东省医疗废物管理条例》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128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对从事母婴保健技术服务的人员出具虚假医学证明文件的，给当事人身心健康造成严重后果的行为的行政处罚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《中华人民共和国母婴保健法》、《中华人民共和国母婴保健法实施办法》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129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对医疗卫生机构使用的进入人体组织或无菌器官以及医疗器械用品未达到灭菌和消毒要求的行为的行政处罚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《消毒管理办法》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130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对乡级医疗卫生机构未依照规定将第一类疫苗分发到承担预防接种工作的村医疗卫生机构的行为的行政处罚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《疫苗流通和预防接种管理条例》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131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对生产、销售《广东省查处生产销售假冒伪劣商品违法行为条例》第十条第七项所列商品的行为的行政处罚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《广东省查处生产销售假冒伪劣商品违法行为条例》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132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对处方的调配人、核对人违反本条例的规定未对麻醉药品和第一类精神药品处方进行核对的行为的行政处罚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《麻醉药品和精神药品管理条例》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133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对准许或者纵容传染病人、病原携带者和疑似传染病病人，从事儿童看护、保教工作的行为的行政处罚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《广东省母婴保健管理条例》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134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对医疗卫生机构、医疗废物集中处置单位未对医疗废物进行登记或者未保存登记资料的行为的行政处罚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《医疗废物管理条例》、《医疗废物管理行政处罚办法》、《医疗卫生机构医疗废物管理办法》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135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对医疗机构未按照规定保管麻醉药品和精神药品处方，或者未依照规定进行专册登记的行为的行政处罚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《麻醉药品和精神药品管理条例》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136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对职业病诊断鉴定委员会组成人员收受职业病诊断争议当事人的财物或者其他好处的行为的行政处罚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《中华人民共和国职业卫生防治法》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137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对医疗卫生机构、医疗废物集中处置单位阻碍卫生行政主管部门执法人员执行职务的行为的行政处罚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《医疗废物管理条例》、《医疗卫生机构医疗废物管理办法》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138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对逾期不校验计划生育技术服务执业许可证明文件经责令限期补办后仍拒不校验的行为的行政处罚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《计划生育技术服务管理条例》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139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对有《广东省查处生产销售假冒伪劣商品违法行为条例》第十一条所列行为之一的行为的行政处罚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《广东省查处生产销售假冒伪劣商品违法行为条例》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140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对有《广东省查处生产销售假冒伪劣商品违法行为条例》第十二条所列行为之一的行为的行政处罚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《广东省查处生产销售假冒伪劣商品违法行为条例》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141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对医疗卫生机构发生感染性疾病暴发、流行时，未及时报告和采取有效消毒措施的行为的行政处罚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《消毒管理办法》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142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对医疗保健机构未取得产前诊断执业许可或超越许可范围，擅自从事产前诊断的行为的行政处罚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《产前诊断技术管理办法》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143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对医疗保健机构《母婴保健技术服务执业许可证》校验不合格且整改后仍不合格的行为的行政处罚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《广东省母婴保健技术服务项目审批管理办法》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144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对个体或私营医疗保健机构瞒报、缓报、谎报传染病疫情或突发性公共卫生事件的行为的行政处罚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《突发公共卫生事件与传染病疫情监测信息报告管理办法》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145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对大规模批量生产、销售假冒伪劣商品，以贿赂、回扣等方式推销假冒伪劣商品的行为的行政处罚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《广东省查处生产销售假冒伪劣商品违法行为条例》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146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对医疗机构违反《职业病防治法》规定，已经对劳动者生命健康造成严重损害的行为的行政处罚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《职业病防治法》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147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对违反《中外合资、合作医疗机构管理暂行办法》的中外合资、合作医疗机构的行为的行政处罚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《中外合资、合作医疗机构管理暂行办法》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148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对违反《疫苗流通和预防接种管理条例》规定发布接种第二类疫苗的建议信息的行为的行政处罚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《疫苗流通和预防接种管理条例》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149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对托幼机构未取得《医疗机构执业许可证》擅自设立卫生室，进行诊疗活动的行为的行政处罚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《托儿所幼儿园卫生保健管理办法》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150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对不具备集中处置医疗废物条件的农村医疗卫生机构未按照要求处置医疗废物的行为的行政处罚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《医疗卫生机构医疗废物管理办法》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151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对组织进行非医学需要的胚胎、胎儿性别鉴定或者选择性别的人工终止妊娠的行为的行政处罚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《广东省人口与计划生育条例》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152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对暂缓校验的医疗机构违反规定擅自开展诊疗活动或发布医疗服务信息广告的行为的行政处罚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《医疗机构校验管理办法》(试行)（卫医政发[2009]57号）</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153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对医疗机构违反《医师外出会诊管理暂行规定》第六条、第八条、第十五条的行为的行政处罚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《医师外出会诊管理暂行规定》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154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对取得印鉴卡的医疗机构未依照规定购买、储存、备案麻醉药品和精神药品的行为的行政处罚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《麻醉药品和精神药品管理条例》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155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对从事母婴保健工作的人员出具有关虚假医学证明或者进行胎儿性别鉴定的行为的行政处罚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《中华人民共和国母婴保健法》、《母婴保健法实施办法》、《广东省母婴保健管理条例》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156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对医师在性病诊疗活动中违反本办法规定，泄露患者隐私，造成严重后果的行为的行政处罚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《执业医师法》、《性病防治管理办法》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157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对医疗卫生机构发生医疗废物流失、泄漏、扩散时，未采取紧急处理措施的行为的行政处罚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《医疗卫生机构医疗废物管理办法》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158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对医疗卫生机构、医疗废物集中处置单位未建立、健全医疗废物管理制度的行为的行政处罚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《医疗废物管理条例》、《医疗废物管理行政处罚办法》、《医疗卫生机构医疗废物管理办法》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159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对医疗气功人员在医疗气功活动中违反医学常规或医疗气功基本操作规范的行为的行政处罚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《中华人民共和国执业医师法》、《医疗机构管理条例实施细则》</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160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对买卖、出借、出租或者涂改、伪造计划生育技术服务执业许可证明文件的行为的行政处罚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《计划生育技术服务管理条例实施细则》</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161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对开展新生儿疾病筛查的医疗机构违反《新生儿疾病筛查技术规范》</w:t>
            </w:r>
            <w:r>
              <w:rPr>
                <w:rFonts w:hint="eastAsia" w:ascii="仿宋" w:hAnsi="仿宋" w:eastAsia="仿宋" w:cs="宋体"/>
                <w:color w:val="000000"/>
                <w:kern w:val="0"/>
                <w:sz w:val="18"/>
                <w:szCs w:val="18"/>
                <w:lang w:eastAsia="zh-CN"/>
              </w:rPr>
              <w:t>的</w:t>
            </w:r>
            <w:r>
              <w:rPr>
                <w:rFonts w:hint="eastAsia" w:ascii="仿宋" w:hAnsi="仿宋" w:eastAsia="仿宋" w:cs="宋体"/>
                <w:color w:val="000000"/>
                <w:kern w:val="0"/>
                <w:sz w:val="18"/>
                <w:szCs w:val="18"/>
              </w:rPr>
              <w:t>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《新生儿疾病筛查管理办法》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162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对护士执业注册申请人隐瞒有关情况或者提供虚假材料申请护士执业注册的行为的行政处罚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《护士执业注册管理办法》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163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对从事计划生育技术服务的机构未经批准擅自扩大计划生育技术服务项目的行为的行政处罚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《计划生育技术服务管理条例》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164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对用人单位有《用人单位职业健康监护监督管理办法》第二十六条规定的违法行为的处罚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《用人单位职业健康监护监督管理办法》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165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对医师在性病诊疗活动中违反《性病防治管理办法》规定造成严重后果的行为的行政处罚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《执业医师法》、《性病防治管理办法》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166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对医疗卫生机构在运送过程中未按照医疗废物进行管理和处置医疗废物的行为的行政处罚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《医疗卫生机构医疗废物管理办法》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167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对医疗机构违反本办法规定，超出诊疗科目登记范围开展性病诊疗活动的行为的行政处罚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《性病防治管理办法》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168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对违反《中华人民共和国职业病防治法第七十二条、放射人员职业健康的行为的行政处罚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《职业病防治法》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169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对台湾医师未按照注册的执业地点、执业类别、执业范围从事诊疗活动的行为的行政处罚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《台湾地区医师在大陆短期行医管理规定》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170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对普通中小学校使学生接触有毒有害物质或者从事不安全工种的作业的行为的行政处罚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《学校卫生工作条例》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171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对盲人医疗按摩所及其工作人员违反《医疗机构管理条例》的有关规定的行为的行政处罚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《盲人医疗按摩管理办法》（卫医政发〔2009〕37号）</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172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对供学生使用的文具、娱乐用品、保健用品达不到国家有关卫生标准的行为的行政处罚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《学校卫生工作条例》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173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对港澳医师未按照注册的执业地点、执业类别、执业范围从事诊疗活动的行为的行政处罚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《香港、澳门特别行政区医师在内地短期行医管理规定》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174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对职业健康检查机构出租、出借《职业健康检查机构资质批准证书》的行为的行政处罚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《职业健康检查管理办法》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175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对医师和药师未未按规定开具、使用、调剂麻醉药品和精神药品处方的行为的行政处罚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《处方管理办法》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176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对医疗卫生机构医疗废物处置和使用的医疗废物运送工具不符合要求的行为的行政处罚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《医疗卫生机构医疗废物管理办法》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177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对医疗机构聘用未经内地短期行医执业注册的港澳医师从事诊疗活动的行为的行政处罚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《香港、澳门特别行政区医师在内地短期行医管理规定》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178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对医疗机构聘用未经大陆短期行医执业注册的台湾医师从事诊疗活动的行为的行政处罚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《台湾地区医师在大陆短期行医管理规定》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179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对外国医师来华短期行医未经注册领取《外国医生短期行医许可证》的行为的行政处罚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《外国医师来华短期行医暂行管理办法》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180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对临床用血的包装、储存、运输，不符合国家规定的卫生标准和要求的行为的行政处罚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《血站管理办法》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181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对疾病预防控制机构未按规定调查上报疫情或报告突发公共卫生事件的行为的行政处罚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《突发公共卫生事件与传染病疫情监测信息报告管理办法》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182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对医疗卫生机构未及时对使用后的一次性医疗用品进行无害化处理的行为的行政处罚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《消毒管理办法》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183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对医疗机构未经批准擅自开展新生儿遗传代谢病筛查实验室检测的行为进行行政处罚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《新生儿疾病筛查管理办法》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184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对医疗机构未建立或者未落实医院感染管理的规章制度、工作规范的行为的行政处罚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《医院感染管理办法》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185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对消毒产品的命名、标签（含说明书）和宣传内容不符合有关规定的行为的行政处罚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《消毒管理办法》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186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对乡村医生变更执业的村医疗卫生机构，未办理变更执业注册手续的行为的行政处罚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《乡村医生从业管理条例》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187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对生产或者销售无卫生许可批准文件的涉及饮用水卫生安全的产品的行为的行政处罚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《生活饮用水卫生监督管理办法》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188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对疾病预防控制机构违反《结核病防治管理办法》第三十五条规定的行为的行政处罚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《结核病防治管理办法》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189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对疾病预防控制机构违反《结核病防治管理办法》第三十六条规定的行为的行政处罚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《结核病防治管理办法》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190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对放射工作单位未给从事放射工作的人员办理《放射工作人员证》的行为的行政处罚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《放射工作人员职业健康管理办法》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191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对医疗机构逾期不校验《医疗机构执业许可证》仍从事诊疗活动的行为的行政处罚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《医疗机构管理条例实施细则》</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192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对未经批准擅自从事产前诊断和使用辅助生育技术治疗不育症的行为进行行政处罚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《计划生育技术服务管理条例实施细则》、《计划生育技术服务管理条例》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193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对违反《病原微生物实验室生物安全管理条例》第六十三条规定的行为的行政处罚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《病原微生物实验室生物安全管理条例》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194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对违反《病原微生物实验室生物安全管理条例》第六十二条规定的行为的行政处罚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《病原微生物实验室生物安全管理条例》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195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对从事人体器官移植的医务人员参与尸体器官捐献人的死亡判定的行为的行政处罚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《人体器官移植条例》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196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对承担单采血浆站技术评价、检测的技术机构出具虚假证明文件的行为的行政处罚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《单采血浆站管理办法》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197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对不符合本法规定条件的医疗机构擅自从事精神障碍诊断、治疗的行为的行政处罚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《精神卫生法》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198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对医疗卫生机构购进消毒产品未建立并执行进货检查验收制度的行为的行政处罚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《消毒管理办法》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199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对医疗机构违反有关规定发布涉及性病诊断治疗内容医疗广告的行为的行政处罚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《性病防治管理办法》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200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对学校未给参加劳动的学生提供必要的安全和卫生防护措施的行为的行政处罚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《学校卫生工作条例》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201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对违反有关规定采集或者使用人体组织、器官、细胞、骨髓等的行为的行政处罚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《艾滋病防治条例》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202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对违反《病原微生物实验室生物安全管理条例》第六十条规定的行为的行政处罚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《病原微生物实验室生物安全管理条例》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203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对非医疗机构未经批准擅自设置人类精子库，采集、提供精子的行为的行政处罚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《人类精子库管理办法》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204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对医疗机构未经批准擅自设置人类精子库，采集、提供精子的行为的行政处罚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《医疗机构管理条例》、《医疗机构管理条例实施细则》、《人类精子库管理办法》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205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对执行职务的医疗卫生人员瞒报、缓报、谎报传染病疫情的行为的行政处罚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《突发公共卫生事件与传染病疫情监测信息报告管理办法》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206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对医疗卫生机构工作人员未按规定严格执行消毒隔离制度的行为的行政处罚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《消毒管理办法》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207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对医疗机构未取得《医疗机构执业许可证》发布医疗广告的行为的行政处罚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《医疗广告管理办法》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208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对医疗机构使用未经卫生行政部门指定的血站供应的血液的行为的行政处罚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《医疗机构临床用血管理办法》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209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对医疗机构使用不具备相应资质的人员从事放射诊疗工作的行为的行政处罚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《放射诊疗管理规定》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210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对未取得《医疗机构执业许可证》擅自开展性病诊疗活动的行为的行政处罚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《医疗机构管理条例》、《医疗机构管理条例实施细则》、《性病防治管理办法》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211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对盲人医疗按摩所聘用非盲人开展医疗、预防、保健活动的行为的行政处罚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《盲人医疗按摩管理办法》卫医政发〔2009〕37号</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212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对有关单位及个人有《职业病防治法》第七十五条规定的违法行为的处罚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《中华人民共和国职业病防治法》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213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对医师未取得处方权或者被取消处方权后开具药品处方的行为的行政处罚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《处方管理办法》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214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对医疗机构未执行有关的药品质量管理规范和规章制度的行为的行政处罚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《医疗机构药事管理规定》（卫医政发〔2011〕 11号）</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215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对医疗机构违反建设项目卫生审查、竣工验收有关规定的行为的行政处罚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《放射诊疗管理规定》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216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对医疗机构出卖、转让、出借《医疗机构执业许可证》的行为的行政处罚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《医疗机构管理条例》、《医疗机构管理条例实施细则》</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217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对卫生质量、卫生服务、卫生管理制度不符合规定要求的行为的行政处罚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《公共场所卫生管理条例实施细则》</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218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对明知血浆检测结果为阳性仍向血液制品生产单位供应的行为的行政处罚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《血液制品管理条例》、《单采血浆站管理办法》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219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对医疗卫生机构未定期开展消毒与灭菌效果检测工作的行为的行政处罚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《消毒管理办法》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220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对医疗卫生机构未按照规定报告职业病、疑似职业病的行为的行政处罚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《职业健康检查管理办法》、《中华人民共和国职业病防治法》、《职业病诊断与鉴定管理办法》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221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对医疗机构违反《医疗广告管理办法》发布医疗广告的行为的行政处罚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《医疗广告管理办法》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222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对无《医疗机构执业许可证》擅自开展职业健康检查的行为的行政处罚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《职业健康检查管理办法》、《医疗机构管理条例》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223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对买卖人体器官或者从事与买卖人体器官有关活动的行为的行政处罚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《人体器官移植条例》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224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对非医疗保健机构未经批准擅自开展产前诊断技术的行为的行政处罚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《产前诊断技术管理办法》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225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对学校未为学生提供充足的符合卫生标准的饮用水的行为的行政处罚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《学校卫生工作条例》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226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对未经批准擅自开办医疗机构行医或者非医师行医的行为的行政处罚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《中华人民共和国执业医师法》、《台湾地区医师在大陆短期行医管理规定》、《香港、澳门特别行政区医师在内地短期行医管理规定》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227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对台湾医师在大陆短期行医期间发生医疗事故争议的行为的行政处罚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《医疗事故处理条例》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228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对拒绝或者妨碍学校卫生监督员实施学校卫生监督的行为的行政处罚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《学校卫生工作条例》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229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对港澳医师在内地短期行医期间发生医疗事故争议的行为的行政处罚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《医疗事故处理条例》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230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对非法从事组织、采集、供应、倒卖原料血浆活动的行为的行政处罚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《血液制品管理条例》《单采血浆站管理办法》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231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对政府有关部门采取的预防、控制措施不予配合的行为的行政处罚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《血吸虫病防治条例》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232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对医疗机构因违反国家有关规定而发生放射事故的行为的行政处罚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《放射事故管理规定》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233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对医疗机构未经批准擅自开展人类辅助生殖技术的行为的行政处罚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《医疗机构管理条例实施细则》、《医疗机构管理条例》、《人类辅助生殖技术管理办法》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234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对医疗机构发生放射事故隐瞒不报或者弄虚作假的行为的行政处罚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《放射事故管理规定》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235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对未经卫生主管部门依法指定擅自从事接种工作的行为的行政处罚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《疫苗流通和预防接种管理条例》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236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对为申请参加实践技能考试的执业医师出具伪证的行为的行政处罚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《医师资格考试暂行办法》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237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对医师外出会诊违反《执业医师法》有关规定的行为的行政处罚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《医疗机构管理条例》、《医疗机构管理条例实施细则》、《医师外出会诊管理暂行规定》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238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对医疗机构违反本办法关于应急用血采血规定的行为的行政处罚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《医疗机构临床用血管理办法》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239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对医疗机构提供性病诊疗服务时违反诊疗规范的行为的行政处罚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《性病防治管理办法》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240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对医疗机构放射性职业病危害控制不符合规定的行为的行政处罚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《中华人民共和国职业病防治法》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241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对学校体育场地和器材不符合卫生和安全要求的行为的行政处罚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《学校卫生工作条例》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242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对消毒服务机构消毒后的物品未达到卫生标准和要求的行政处罚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《消毒管理办法》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243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对未取得执业许可擅自从事计划生育技术服务的行为的行政处罚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《计划生育技术服务管理条例》《计划生育技术服务管理条例实施细则》</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244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对使用非卫生技术人员从事医疗卫生技术工作的行为的行政处罚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《医疗机构管理条例》、《台湾地区医师在大陆短期行医管理规定》、《香港、澳门特别行政区医师在内地短期行医管理规定》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245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对健康体检超出备案的《健康体检项目目录》的行为的行政处罚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《健康体检管理暂行规定》（卫医政发[2009]77号）</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246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未履行艾滋病监测职责；未按照规定免费提供咨询和初筛检测的，对临时应急采集的血液未进行艾滋病检测，对临床用血艾滋病检测结果未进行核查，或者将艾滋病检测阳性的血液用于临床的，未遵守原则，或者未执行操作规程和消毒管理制度，发生艾滋病医院感染或者医源性感染的，未采取有效的卫生防护措施和医疗保健措施的，推诿、拒绝治疗艾滋病病毒感染者或者艾滋病病人的其他疾病，或者对艾滋病病毒感染者、艾滋病病人未提供咨询、诊断和治疗服务的，未对艾滋病病毒感染者或者艾滋病病人进行医学随访的，未按照规定对感染艾滋病病毒的孕产妇及其婴儿提供预防艾滋病母婴传播技术指导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《艾滋病防治条例》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247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对医疗机构未经批准擅自开展医疗气功活动的行为的行政处罚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《医疗机构管理条例实施细则》、《医疗气功管理暂行规定》、《医疗机构管理条例》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248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对无《医疗机构执业许可证》开展健康体检的行为的行政处罚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《职业健康检查管理办法》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249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对未取得《医疗机构执业许可证》擅自执业的行为的行政处罚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《医疗机构管理条例》、《医疗机构管理条例实施细则》</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250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对未经注册在村医疗卫生机构从事医疗活动的行为的行政处罚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《乡村医生从业管理条例》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251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对违反《单采血浆站管理办法》第六十二条的行为的行政处罚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《单采血浆站管理办法》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252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对使用非医疗气功人员开展医疗气功活动的行为的行政处罚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《中华人民共和国执业医师法》、《医疗机构管理条例实施细则》</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253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对自报新生儿死亡但不能提供合法证明的行为的行政处罚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《广东省人口与计划生育条例》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254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对医师以不正当手段取得医师执业证书的行为的行政处罚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《中华人民共和国执业医师法》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255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对非法采集血液或者组织他人出卖血液的行为的行政处罚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《中华人民共和国传染病防治法》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256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对违反《血站管理办法》第六十一条的行为的行政处罚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《血站管理办法》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257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对不符合规定影响饮用水水源、水质的行为的行政处罚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《生活饮用水卫生监督管理办法》、《中华人民共和国传染病防治法》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258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对医疗机构诊疗活动超出登记范围的行为的行政处罚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《医疗机构管理条例》、《医疗机构管理条例》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259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对医疗机构未经许可开展健康体检的行为的行政处罚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《健康体检管理暂行规定》卫医政发[2009]77号、《医疗机构管理条例》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260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对医疗机构未建立用血、献血制度的行为的行政处罚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《医疗机构临床用血管理办法》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261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对涂改、伪造、转让《供血浆证》的行为的行政处罚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《血液制品管理条例》、《单采血浆站管理办法》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262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对采集血浆、血浆使用不符合规定的行为的行政处罚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《血液制品管理条例》、《单采血浆站管理办法》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263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对非医疗机构开展医疗气功活动的行为的行政处罚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《中华人民共和国执业医师法》、《医疗机构管理条例实施细则》</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264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对非医师开展医疗气功活动的行为的行政处罚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《中华人民共和国执业医师法》、《医疗机构管理条例实施细则》</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265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对医疗机构发生医疗事故的行为的行政处罚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《医疗事故处理条例》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266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对非法采集、出售血液的行为的行政处罚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《中华人民共和国献血法》《血站管理办法》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267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对出具虚假证明文件的行为的行政处罚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《医疗机构管理条例》、《医疗机构管理条例实施细则》</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268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疾病预防控制机构、接种单位违反《疫苗流通和预防接种管理条例》规定，未通过省级公共资源交易平台采购疫苗的，违反《疫苗流通和预防接种管理条例》规定，从疫苗生产企业、县级疾病预防控制机构以外的单位或者个人购进第二类疫苗的，接种疫苗未遵守预防接种工作规范、免疫程序、疫苗使用指导原则、接种方案的，发现预防接种异常反应或者疑似预防接种异常反应，未依照规定及时处理或者报告的，擅自进行群体性预防接种的，未依照规定对包装无法识别、超过有效期、脱离冷链、经检验不符合标准、来源不明的疫苗进行登记、报告，或者未依照规定记录销毁情况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《疫苗流通和预防接种管理条例》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269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疾病预防控制机构未按照使用计划将第一类疫苗分发到下级疾病预防控制机构、接种单位、乡级医疗卫生机构的，未依照规定建立并保存疫苗购进、储存、分发、供应记录的，接收或者购进疫苗时未依照规定索要温度监测记录，接收、购进不符合要求的疫苗，或者未依照规定报告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《疫苗流通和预防接种管理条例》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270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护士在执业活动中发现患者病情危急未立即通知医师的，发现医嘱违反法律、法规、规章或者诊疗技术规范的规定，未依照本条例第十七条的规定提出或者报告的，泄露患者隐私的，发生自然灾害、公共卫生事件等严重威胁公众生命健康的突发事件，不服从安排参加医疗救护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《护士条例》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271</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行政给付</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预防接种异常反应补偿</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《疫苗流通和预防接种管理条例》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272</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行政检查</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对医疗卫生机构实施国家免疫规划的情况进行监督检查</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1、基本信息（事项名称、实施主体、行使层级、审批结果、编码代码、特别程序、中介服务、其他信息等）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《疫苗流通和预防接种管理条例》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273</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行政检查</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对职业卫生技术服务机构和专职技术人员的监督检查</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1、基本信息（事项名称、实施主体、行使层级、审批结果、编码代码、特别程序、中介服务、其他信息等）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《职业卫生技术服务机构监督管理暂行办法》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274</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行政检查</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对用人单位职业病防治工作的监督检查</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1、基本信息（事项名称、实施主体、行使层级、审批结果、编码代码、特别程序、中介服务、其他信息等）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《职业病防治法》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275</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行政检查</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对消毒工作进行监督检查</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1、基本信息（事项名称、实施主体、行使层级、审批结果、编码代码、特别程序、中介服务、其他信息等）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after="240"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《消毒管理办法》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276</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行政检查</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急救网络医院检查</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1、基本信息（事项名称、实施主体、行使层级、审批结果、编码代码、特别程序、中介服务、其他信息等）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《院前医疗急救管理办法》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277</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行政检查</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的医院感染管理规章制度及落实情况；对医疗机构针对医院感染危险因素的各项工作和控制措施；对医疗机构的消毒灭菌与隔离、医疗废物管理及医务人员职业卫生防护工作状况；对医疗机构的医院感染病例和医院感染暴发监测工作进行监督检查</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1、基本信息（事项名称、实施主体、行使层级、审批结果、编码代码、特别程序、中介服务、其他信息等）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《医院感染管理办法》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278</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行政检查</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学校卫生监督检查：对学校卫生日常卫生监督、学生使用的用品日常卫生监督、学校校舍预防性卫生监督</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1、基本信息（事项名称、实施主体、行使层级、审批结果、编码代码、特别程序、中介服务、其他信息等）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《学校卫生工作条例》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279</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行政检查</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生活饮用水（包括集中式供水、二次供水单位和涉及饮用水卫生安全的产品）卫生监督检查</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1、基本信息（事项名称、实施主体、行使层级、审批结果、编码代码、特别程序、中介服务、其他信息等）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《中华人民共和国传染病防治法》、《生活饮用水卫生监督管理办法》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280</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行政检查</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对医疗卫生机构的放射工作人员职业健康管理进行监督检查</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1、基本信息（事项名称、实施主体、行使层级、审批结果、编码代码、特别程序、中介服务、其他信息等）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《放射工作人员职业健康管理办法》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281</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行政检查</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人间传染的病原微生物菌（毒）种保藏机构监督检查</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1、基本信息（事项名称、实施主体、行使层级、审批结果、编码代码、特别程序、中介服务、其他信息等）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《传染病防治卫生监督工作规范》、《人间传染的病原微生物菌（毒）种保藏机构管理办法》、《病原微生物实验室生物安全管理条例》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282</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行政检查</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对本行政区域内的血吸虫病防治工作进行监督管理</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1、基本信息（事项名称、实施主体、行使层级、审批结果、编码代码、特别程序、中介服务、其他信息等）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《血吸虫病防治条例》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283</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行政检查</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对开展放射诊疗活动的医疗机构进行监督检查</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1、基本信息（事项名称、实施主体、行使层级、审批结果、编码代码、特别程序、中介服务、其他信息等）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《中华人民共和国职业病防治法》、《放射性同位素与射线装置安全和防护条例》、《放射诊疗管理规定》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284</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行政检查</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学校校舍新、改、扩建的竣工验收</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1、基本信息（事项名称、实施主体、行使层级、审批结果、编码代码、特别程序、中介服务、其他信息等）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《学校卫生工作条例》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285</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行政检查</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餐饮具集中消毒单位卫生监督检查</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1、基本信息（事项名称、实施主体、行使层级、审批结果、编码代码、特别程序、中介服务、其他信息等）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《中华人民共和国食品安全法》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286</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行政检查</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医疗废物集中处置单位监督检查</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1、基本信息（事项名称、实施主体、行使层级、审批结果、编码代码、特别程序、中介服务、其他信息等）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《医疗废物管理条例》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287</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行政检查</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对职业健康检查机构的监督检查</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1、基本信息（事项名称、实施主体、行使层级、审批结果、编码代码、特别程序、中介服务、其他信息等）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《中华人民共和国职业病防治法》、《职业健康检查管理办法》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288</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行政检查</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对职业病诊断机构进行监督检查</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1、基本信息（事项名称、实施主体、行使层级、审批结果、编码代码、特别程序、中介服务、其他信息等）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《职业病诊断与鉴定管理办法》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289</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行政检查</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消毒产品生产企业监督检查</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1、基本信息（事项名称、实施主体、行使层级、审批结果、编码代码、特别程序、中介服务、其他信息等）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《消毒管理办法》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290</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行政检查</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消毒产品经营单位监督检查</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1、基本信息（事项名称、实施主体、行使层级、审批结果、编码代码、特别程序、中介服务、其他信息等）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《消毒管理办法》、《卫生部关于卫生监督体系建设的若干规定》                                         </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 xml:space="preserve">    第二十二条第二项第二目 设区的市、县级卫生监督机构负责辖区内日常卫生监督工作，主要职责为：（二）公共卫生监督　　2、对化妆品、消毒产品、生活饮用水、涉及饮用水卫生安全产品及其他健康相关产品的卫生及其生产经营活动进行卫生监督检查，查处违法行为；</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291</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行政检查</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疾病预防控制机构监督检查</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1、基本信息（事项名称、实施主体、行使层级、审批结果、编码代码、特别程序、中介服务、其他信息等）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《医疗卫生机构医疗废物管理办法》、《疫苗流通和预防接种管理条例》、《传染病防治卫生监督工作规范》、《关于卫生监督体系建设的若干规定》、 《突发公共卫生事件与传染病疫情监测信息报告管理办法》、《性病防治管理办法》、 《消毒管理办法》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292</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行政检查</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公共场所卫生监督抽检</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1、基本信息（事项名称、实施主体、行使层级、审批结果、编码代码、特别程序、中介服务、其他信息等）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《公共场所卫生管理条例》、《公共场所卫生管理条例实施细则》</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293</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行政检查</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采供血机构监督检查</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1、基本信息（事项名称、实施主体、行使层级、审批结果、编码代码、特别程序、中介服务、其他信息等）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《单采血浆站管理办法》、《医疗机构管理条例》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294</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行政检查</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预防接种监督检查</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1、基本信息（事项名称、实施主体、行使层级、审批结果、编码代码、特别程序、中介服务、其他信息等）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《传染病防治卫生监督工作规范》、《疫苗流通和预防接种管理条例》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295</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行政检查</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医疗机构监督检查</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1、基本信息（事项名称、实施主体、行使层级、审批结果、编码代码、特别程序、中介服务、其他信息等）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《医疗机构管理条例》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296</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行政检查</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实验室监督检查</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1、基本信息（事项名称、实施主体、行使层级、审批结果、编码代码、特别程序、中介服务、其他信息等）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《病原微生物实验室生物安全管理条例》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297</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行政奖励</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对开展爱国卫生工作成绩显著的单位和个人的奖励</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《全国爱卫会关于组织开展创建卫生先进单位和卫生村活动的通知》《广东省爱国卫生工作条例》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298</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行政奖励</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计划生育荣誉证书审核、发放</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《关于颁发计划生育工作者荣誉证书的通知》（国计生人字〔1989〕63号）</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299</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行政奖励</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“两非”案件举报奖励</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《禁止非医学需要的胎儿性别鉴定和选择性别人工终止妊娠的规定》国家卫生和计划生育委员会令第9号</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300</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行政奖励</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护士表彰</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《护士条例》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子项包括护士表彰（优秀护理集体）、护士表彰（优秀护士）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301</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行政强制</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机构发生放射性职业病危害事故或者有证据证明危害状态可能导致职业病危害事故发生时（一）责令暂停导致职业病危害事故的作业；（二）封存造成职业病危害事故或者可能导致职业病危害事故发生的材料和设备；（三）组织控制职业病危害事故现场。</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1、基本信息（事项名称、办结时限、实施主体、实施主体性质、行使层级、事项状态、审批结果等）</w:t>
            </w:r>
          </w:p>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《中华人民共和国职业病防治法》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302</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行政强制</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发生职业病危害事故或者有证据证明危害状态可能导致职业病危害事故发生时，卫生行政部门可以采取封存造成职业病危害事故或者可能导致职业病危害事故发生的材料和设备的临时控制措施</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1、基本信息（事项名称、办结时限、实施主体、实施主体性质、行使层级、事项状态、审批结果等）</w:t>
            </w:r>
          </w:p>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《中华人民共和国职业病防治法》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303</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行政强制</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封闭公共饮用水源、封存食品以及相关物品或者暂停销售的临时控制措施，并予以检验或者进行消毒的采取临时控制措施</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1、基本信息（事项名称、办结时限、实施主体、实施主体性质、行使层级、事项状态、审批结果等）2、办理流程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《中华人民共和国传染病防治法》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304</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行政强制</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对病人、相关人员、染疫或者疑似染疫的动物采取封闭、隔离治疗、医学检查、现场消毒，隔离、扑杀等措施</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1、基本信息（事项名称、办结时限、实施主体、实施主体性质、行使层级、事项状态、审批结果等）</w:t>
            </w:r>
          </w:p>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《病原微生物实验室生物安全管理条例》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305</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行政强制</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对被传染病病原体污染的公共饮用水源、食品以及相关物品采取封闭、封存、暂停销售，检验、消毒等措施</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1、基本信息（事项名称、办结时限、实施主体、实施主体性质、行使层级、事项状态、审批结果等）2、办理流程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《中华人民共和国传染病防治法》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306</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行政强制</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使用单位的麻醉药品和精神药品有证据证明可能流入非法渠道的采取查封、扣押的行政强制措施</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1、基本信息（事项名称、办结时限、实施主体、实施主体性质、行使层级、事项状态、审批结果等）2、办理流程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《麻醉药品和精神药品管理条例》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307</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行政强制</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对涉嫌违反《医疗废物管理条例》规定的场所、设备、运输工具和物品进行查封或者暂扣</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1、基本信息（事项名称、办结时限、实施主体、实施主体性质、行使层级、事项状态、审批结果等）2、办理流程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《医疗废物管理条例》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308</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行政确认</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对传统医学师承和确有专长人员申请参加医师资格考试的资格认定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《中华人民共和国执业医师法》、《传统医学师承和确有专长人员医师资格考核考试办法》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子项包括对传统医学师承和确有专长人员申请参加医师资格考试的资格认定、传统医学师承出师证书核发、传统医学医术确有专长证书核发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309</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行政确认</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放射工作人员证</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《放射工作人员职业健康管理办法》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310</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行政确认</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对传染病病人尸体或者疑似传染病病人的尸体进行解剖查验的批准</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《中华人民共和国传染病防治法实施办法》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子项包括对传染病病人尸体或者疑似传染病病人的尸体进行解剖查验的批准（新增）、对传染病病人尸体或者疑似传染病病人的尸体进行解剖查验的批准（注销）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311</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行政确认</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病媒生物预防控制有偿服务机构公示</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《广东省病媒生物预防控制管理规定》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312</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行政确认</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戒毒药物维持治疗机构批准工作</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《戒毒药物维持治疗工作管理办法》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313</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行政确认</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艾滋病检测筛查实验室的验收</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《全国艾滋病检测工作管理办法》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314</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行政确认</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计划生育手术并发症鉴定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《计划生育技术服务管理条例》、《计划生育手术并发症鉴定管理办法（试行）》</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315</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行政确认</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母婴保健医学技术鉴定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《广东省母婴保健管理条例》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316</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行政确认</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职业病诊断鉴定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《职业病诊断与鉴定管理办法》、《</w:t>
            </w:r>
            <w:r>
              <w:rPr>
                <w:rFonts w:hint="eastAsia" w:ascii="仿宋" w:hAnsi="仿宋" w:eastAsia="仿宋" w:cs="宋体"/>
                <w:color w:val="000000"/>
                <w:kern w:val="0"/>
                <w:sz w:val="18"/>
                <w:szCs w:val="18"/>
                <w:lang w:eastAsia="zh-CN"/>
              </w:rPr>
              <w:t>中</w:t>
            </w:r>
            <w:r>
              <w:rPr>
                <w:rFonts w:hint="eastAsia" w:ascii="仿宋" w:hAnsi="仿宋" w:eastAsia="仿宋" w:cs="宋体"/>
                <w:color w:val="000000"/>
                <w:kern w:val="0"/>
                <w:sz w:val="18"/>
                <w:szCs w:val="18"/>
              </w:rPr>
              <w:t>华人民共和国职业病防治法》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317</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行政确认</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病残儿医学鉴定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《广东省人口与计划生育条例》、《计划生育技术服务管理条例》、《病残儿医学鉴定管理办法》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318</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行政确认</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中医医院评审</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《医疗机构管理条例》、《中医医院评审暂行办法》（医政函〔2012〕96号）</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319</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行政确认</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医疗机构评审</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《医疗机构管理条例》、《妇幼保健机构管理机构管理办法》、《中医医院评审暂行办法》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320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行政许可</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海外留学回国服务人员执业医师资格认定（含中医医师）</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1、基本信息（事项名称、办结时限、实施主体、办件类型、办理形式、在线预约地址、网办地址、是否进驻政务大厅、跨域通办、审批信息、审批结果等）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9、权利义务</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10、法律救济</w:t>
            </w:r>
          </w:p>
        </w:tc>
        <w:tc>
          <w:tcPr>
            <w:tcW w:w="357" w:type="pct"/>
            <w:vMerge w:val="restart"/>
            <w:vAlign w:val="center"/>
          </w:tcPr>
          <w:p>
            <w:pPr>
              <w:widowControl/>
              <w:spacing w:line="220" w:lineRule="exact"/>
              <w:jc w:val="left"/>
              <w:rPr>
                <w:rFonts w:ascii="仿宋" w:hAnsi="仿宋" w:eastAsia="仿宋" w:cs="宋体"/>
                <w:kern w:val="0"/>
                <w:sz w:val="18"/>
                <w:szCs w:val="18"/>
              </w:rPr>
            </w:pPr>
            <w:r>
              <w:rPr>
                <w:rFonts w:hint="eastAsia" w:ascii="仿宋" w:hAnsi="仿宋" w:eastAsia="仿宋" w:cs="宋体"/>
                <w:kern w:val="0"/>
                <w:sz w:val="18"/>
                <w:szCs w:val="18"/>
              </w:rPr>
              <w:t>《中华人民共和国执业医师法》、《卫生部关于妥善解决医师资格认定工作有关问题的通知》（卫人发〔2003〕316号）</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行政相对人类别、行政许可决定书名称、行政许可决定书文号、审批类别、许可内容、法定代表人姓名、许可决定日期、许可截止日期、许可机关、当前状态、许可机关统一信用机构代码）</w:t>
            </w:r>
          </w:p>
        </w:tc>
        <w:tc>
          <w:tcPr>
            <w:tcW w:w="357" w:type="pct"/>
            <w:vMerge w:val="continue"/>
            <w:vAlign w:val="center"/>
          </w:tcPr>
          <w:p>
            <w:pPr>
              <w:widowControl/>
              <w:spacing w:line="220" w:lineRule="exact"/>
              <w:jc w:val="left"/>
              <w:rPr>
                <w:rFonts w:ascii="仿宋" w:hAnsi="仿宋" w:eastAsia="仿宋" w:cs="宋体"/>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321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行政许可</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医疗广告审查证明（不含中医医疗广告）核发</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1、基本信息（事项名称、办结时限、实施主体、办件类型、办理形式、在线预约地址、网办地址、是否进驻政务大厅、跨域通办、审批信息、审批结果等）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9、权利义务</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10、法律救济</w:t>
            </w:r>
          </w:p>
        </w:tc>
        <w:tc>
          <w:tcPr>
            <w:tcW w:w="357" w:type="pct"/>
            <w:vMerge w:val="restart"/>
            <w:vAlign w:val="center"/>
          </w:tcPr>
          <w:p>
            <w:pPr>
              <w:widowControl/>
              <w:spacing w:line="220" w:lineRule="exact"/>
              <w:jc w:val="left"/>
              <w:rPr>
                <w:rFonts w:ascii="仿宋" w:hAnsi="仿宋" w:eastAsia="仿宋" w:cs="宋体"/>
                <w:kern w:val="0"/>
                <w:sz w:val="18"/>
                <w:szCs w:val="18"/>
              </w:rPr>
            </w:pPr>
            <w:r>
              <w:rPr>
                <w:rFonts w:hint="eastAsia" w:ascii="仿宋" w:hAnsi="仿宋" w:eastAsia="仿宋" w:cs="宋体"/>
                <w:kern w:val="0"/>
                <w:sz w:val="18"/>
                <w:szCs w:val="18"/>
              </w:rPr>
              <w:t>《广告管理条例》、《中华人民共和国广告法》、《广东省人民政府关于将一批省级行政职权事项调整由各地级以上市实施的决定》、《医疗广告管理办法》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行政相对人类别、行政许可决定书名称、行政许可决定书文号、审批类别、许可内容、法定代表人姓名、许可决定日期、许可截止日期、许可机关、当前状态、许可机关统一信用机构代码）</w:t>
            </w:r>
          </w:p>
        </w:tc>
        <w:tc>
          <w:tcPr>
            <w:tcW w:w="357" w:type="pct"/>
            <w:vMerge w:val="continue"/>
            <w:vAlign w:val="center"/>
          </w:tcPr>
          <w:p>
            <w:pPr>
              <w:widowControl/>
              <w:spacing w:line="220" w:lineRule="exact"/>
              <w:jc w:val="left"/>
              <w:rPr>
                <w:rFonts w:ascii="仿宋" w:hAnsi="仿宋" w:eastAsia="仿宋" w:cs="宋体"/>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322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行政许可</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麻醉药品、第一类精神药品购用印鉴卡审批</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1、基本信息（事项名称、办结时限、实施主体、办件类型、办理形式、在线预约地址、网办地址、是否进驻政务大厅、跨域通办、审批信息、审批结果等）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9、权利义务</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10、法律救济</w:t>
            </w:r>
          </w:p>
        </w:tc>
        <w:tc>
          <w:tcPr>
            <w:tcW w:w="357" w:type="pct"/>
            <w:vMerge w:val="restart"/>
            <w:vAlign w:val="center"/>
          </w:tcPr>
          <w:p>
            <w:pPr>
              <w:widowControl/>
              <w:spacing w:line="220" w:lineRule="exact"/>
              <w:jc w:val="left"/>
              <w:rPr>
                <w:rFonts w:ascii="仿宋" w:hAnsi="仿宋" w:eastAsia="仿宋" w:cs="宋体"/>
                <w:kern w:val="0"/>
                <w:sz w:val="18"/>
                <w:szCs w:val="18"/>
              </w:rPr>
            </w:pPr>
            <w:r>
              <w:rPr>
                <w:rFonts w:hint="eastAsia" w:ascii="仿宋" w:hAnsi="仿宋" w:eastAsia="仿宋" w:cs="宋体"/>
                <w:kern w:val="0"/>
                <w:sz w:val="18"/>
                <w:szCs w:val="18"/>
              </w:rPr>
              <w:t>《麻醉药品、第一类精神药品购用印鉴卡管理规定》《麻醉药品和精神药品管理条例》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子项包括麻醉药品、第一类精神药品购用印鉴卡审批（核发）、麻醉药品、第一类精神药品购用印鉴卡审批（换卡）、麻醉药品、第一类精神药品购用印鉴卡审批（变更）、麻醉药品、第一类精神药品购用印鉴卡审批（补办）、麻醉药品、第一类精神药品购用印鉴卡审批（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行政相对人类别、行政许可决定书名称、行政许可决定书文号、审批类别、许可内容、法定代表人姓名、许可决定日期、许可截止日期、许可机关、当前状态、许可机关统一信用机构代码）</w:t>
            </w:r>
          </w:p>
        </w:tc>
        <w:tc>
          <w:tcPr>
            <w:tcW w:w="357" w:type="pct"/>
            <w:vMerge w:val="continue"/>
            <w:vAlign w:val="center"/>
          </w:tcPr>
          <w:p>
            <w:pPr>
              <w:widowControl/>
              <w:spacing w:line="220" w:lineRule="exact"/>
              <w:jc w:val="left"/>
              <w:rPr>
                <w:rFonts w:ascii="仿宋" w:hAnsi="仿宋" w:eastAsia="仿宋" w:cs="宋体"/>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323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行政许可</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中医医疗机构的设置审批及执业许可</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1、基本信息（事项名称、办结时限、实施主体、办件类型、办理形式、在线预约地址、网办地址、是否进驻政务大厅、跨域通办、审批信息、审批结果等）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9、权利义务</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10、法律救济</w:t>
            </w:r>
          </w:p>
        </w:tc>
        <w:tc>
          <w:tcPr>
            <w:tcW w:w="357" w:type="pct"/>
            <w:vMerge w:val="restart"/>
            <w:vAlign w:val="center"/>
          </w:tcPr>
          <w:p>
            <w:pPr>
              <w:widowControl/>
              <w:spacing w:line="220" w:lineRule="exact"/>
              <w:jc w:val="left"/>
              <w:rPr>
                <w:rFonts w:ascii="仿宋" w:hAnsi="仿宋" w:eastAsia="仿宋" w:cs="宋体"/>
                <w:kern w:val="0"/>
                <w:sz w:val="18"/>
                <w:szCs w:val="18"/>
              </w:rPr>
            </w:pPr>
            <w:r>
              <w:rPr>
                <w:rFonts w:hint="eastAsia" w:ascii="仿宋" w:hAnsi="仿宋" w:eastAsia="仿宋" w:cs="宋体"/>
                <w:kern w:val="0"/>
                <w:sz w:val="18"/>
                <w:szCs w:val="18"/>
              </w:rPr>
              <w:t>《国务院关于取消和下放50项行政审批项目等事项的决定》、《中外合资、合作医疗机构管理暂行办法》、《广东省卫生计生委关于进一步规范医疗机构审批管理的通知》、《卫生部关于医疗机构审批管理的若干规定》、《关于进一步改革完善医疗机构、医师审批工作的通知》、《广东省人民政府关于将一批省级行政职权事项调整由各地级以上市实施的决定》《关于进一步鼓励和引导社会资本举办医疗机构意见的通知》、《医疗机构管理条例实施细则》、 《医疗机构管理条例》、 《医疗机构校验管理办法（试行）》</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子项包括中医医疗机构设置审批、中医医疗机构校验、中医医疗机构注销登记、中医医疗机构变更登记、中医医疗机构执业登记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行政相对人类别、行政许可决定书名称、行政许可决定书文号、审批类别、许可内容、法定代表人姓名、许可决定日期、许可截止日期、许可机关、当前状态、许可机关统一信用机构代码）</w:t>
            </w:r>
          </w:p>
        </w:tc>
        <w:tc>
          <w:tcPr>
            <w:tcW w:w="357" w:type="pct"/>
            <w:vMerge w:val="continue"/>
            <w:vAlign w:val="center"/>
          </w:tcPr>
          <w:p>
            <w:pPr>
              <w:widowControl/>
              <w:spacing w:line="220" w:lineRule="exact"/>
              <w:jc w:val="left"/>
              <w:rPr>
                <w:rFonts w:ascii="仿宋" w:hAnsi="仿宋" w:eastAsia="仿宋" w:cs="宋体"/>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324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行政许可</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医疗广告（中医类）审查证明核发</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1、基本信息（事项名称、办结时限、实施主体、办件类型、办理形式、在线预约地址、网办地址、是否进驻政务大厅、跨域通办、审批信息、审批结果等）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9、权利义务</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10、法律救济</w:t>
            </w:r>
          </w:p>
        </w:tc>
        <w:tc>
          <w:tcPr>
            <w:tcW w:w="357" w:type="pct"/>
            <w:vMerge w:val="restart"/>
            <w:vAlign w:val="center"/>
          </w:tcPr>
          <w:p>
            <w:pPr>
              <w:widowControl/>
              <w:spacing w:line="220" w:lineRule="exact"/>
              <w:jc w:val="left"/>
              <w:rPr>
                <w:rFonts w:ascii="仿宋" w:hAnsi="仿宋" w:eastAsia="仿宋" w:cs="宋体"/>
                <w:kern w:val="0"/>
                <w:sz w:val="18"/>
                <w:szCs w:val="18"/>
              </w:rPr>
            </w:pPr>
            <w:r>
              <w:rPr>
                <w:rFonts w:hint="eastAsia" w:ascii="仿宋" w:hAnsi="仿宋" w:eastAsia="仿宋" w:cs="宋体"/>
                <w:kern w:val="0"/>
                <w:sz w:val="18"/>
                <w:szCs w:val="18"/>
              </w:rPr>
              <w:t>《中华人民共和国广告法》、《广东省人民政府关于将一批省级行政职权事项调整由各地级以上市实施的决定》、《医疗广告管理办法》、《广告管理条例》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行政相对人类别、行政许可决定书名称、行政许可决定书文号、审批类别、许可内容、法定代表人姓名、许可决定日期、许可截止日期、许可机关、当前状态、许可机关统一信用机构代码）</w:t>
            </w:r>
          </w:p>
        </w:tc>
        <w:tc>
          <w:tcPr>
            <w:tcW w:w="357" w:type="pct"/>
            <w:vMerge w:val="continue"/>
            <w:vAlign w:val="center"/>
          </w:tcPr>
          <w:p>
            <w:pPr>
              <w:widowControl/>
              <w:spacing w:line="220" w:lineRule="exact"/>
              <w:jc w:val="left"/>
              <w:rPr>
                <w:rFonts w:ascii="仿宋" w:hAnsi="仿宋" w:eastAsia="仿宋" w:cs="宋体"/>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325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行政许可</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涉及饮用水卫生安全产品卫生许可</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1、基本信息（事项名称、办结时限、实施主体、办件类型、办理形式、在线预约地址、网办地址、是否进驻政务大厅、跨域通办、审批信息、审批结果等）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9、权利义务</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10、法律救济</w:t>
            </w:r>
          </w:p>
        </w:tc>
        <w:tc>
          <w:tcPr>
            <w:tcW w:w="357" w:type="pct"/>
            <w:vMerge w:val="restart"/>
            <w:vAlign w:val="center"/>
          </w:tcPr>
          <w:p>
            <w:pPr>
              <w:widowControl/>
              <w:spacing w:line="220" w:lineRule="exact"/>
              <w:jc w:val="left"/>
              <w:rPr>
                <w:rFonts w:ascii="仿宋" w:hAnsi="仿宋" w:eastAsia="仿宋" w:cs="宋体"/>
                <w:kern w:val="0"/>
                <w:sz w:val="18"/>
                <w:szCs w:val="18"/>
              </w:rPr>
            </w:pPr>
            <w:r>
              <w:rPr>
                <w:rFonts w:hint="eastAsia" w:ascii="仿宋" w:hAnsi="仿宋" w:eastAsia="仿宋" w:cs="宋体"/>
                <w:kern w:val="0"/>
                <w:sz w:val="18"/>
                <w:szCs w:val="18"/>
              </w:rPr>
              <w:t>《广东省人民政府关于将一批省级行政职权事项调整由各地级以上市实施的决定》、《生活饮用水卫生监督管理办法》、《国务院关于取消和下放50项行政审批项目等事项的决定》、《广东省人民政府第四轮行政审批事项调整目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子项包括涉及饮用水卫生安全产品卫生许可（新证）、涉及饮用水卫生安全产品卫生许可（延续）、涉及饮用水卫生安全产品卫生许可（变更）、涉及饮用水卫生安全产品卫生许可（补办）、涉及饮用水卫生安全产品卫生许可（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行政相对人类别、行政许可决定书名称、行政许可决定书文号、审批类别、许可内容、法定代表人姓名、许可决定日期、许可截止日期、许可机关、当前状态、许可机关统一信用机构代码）</w:t>
            </w:r>
          </w:p>
        </w:tc>
        <w:tc>
          <w:tcPr>
            <w:tcW w:w="357" w:type="pct"/>
            <w:vMerge w:val="continue"/>
            <w:vAlign w:val="center"/>
          </w:tcPr>
          <w:p>
            <w:pPr>
              <w:widowControl/>
              <w:spacing w:line="220" w:lineRule="exact"/>
              <w:jc w:val="left"/>
              <w:rPr>
                <w:rFonts w:ascii="仿宋" w:hAnsi="仿宋" w:eastAsia="仿宋" w:cs="宋体"/>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326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行政许可</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母婴保健技术服务执业许可证核发</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1、基本信息（事项名称、办结时限、实施主体、办件类型、办理形式、在线预约地址、网办地址、是否进驻政务大厅、跨域通办、审批信息、审批结果等）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9、权利义务</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10、法律救济</w:t>
            </w:r>
          </w:p>
        </w:tc>
        <w:tc>
          <w:tcPr>
            <w:tcW w:w="357" w:type="pct"/>
            <w:vMerge w:val="restart"/>
            <w:vAlign w:val="center"/>
          </w:tcPr>
          <w:p>
            <w:pPr>
              <w:widowControl/>
              <w:spacing w:line="220" w:lineRule="exact"/>
              <w:jc w:val="left"/>
              <w:rPr>
                <w:rFonts w:ascii="仿宋" w:hAnsi="仿宋" w:eastAsia="仿宋" w:cs="宋体"/>
                <w:kern w:val="0"/>
                <w:sz w:val="18"/>
                <w:szCs w:val="18"/>
              </w:rPr>
            </w:pPr>
            <w:r>
              <w:rPr>
                <w:rFonts w:hint="eastAsia" w:ascii="仿宋" w:hAnsi="仿宋" w:eastAsia="仿宋" w:cs="宋体"/>
                <w:kern w:val="0"/>
                <w:sz w:val="18"/>
                <w:szCs w:val="18"/>
              </w:rPr>
              <w:t>《广东省母婴保健管理条例》、《中华人民共和国母婴保健法》、《中华人民共和国母婴保健法实施办法》、《广东省人民政府关于将一批省级行政职权事项调整由各地级以上市实施的决定》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tabs>
                <w:tab w:val="left" w:pos="284"/>
                <w:tab w:val="center" w:pos="469"/>
              </w:tabs>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子项包括遗传病诊断、产前诊断等方面的母婴保健技术服务执业许可证核发（新证）、遗传病诊断、产前诊断等方面的母婴保健技术服务执业许可证核发（变更）、遗传病诊断、产前诊断等方面的母婴保健技术服务执业许可证核发（校验）、遗传病诊断、遗传病诊断、产前诊断等方面的母婴保健技术服务执业许可证核发（遗失补办）、遗传病诊断、产前诊断等方面的母婴保健技术服务执业许可证核发（注销）、婚前医学检查母婴保健技术服务执业许可证核发（新证）、婚前医学检查母婴保健技术服务执业许可证核发（变更）、婚前医学检查母婴保健技术服务执业许可证核发（校验）、婚前医学检查母婴保健技术服务执业许可证核发（补办）、婚前医学检查母婴保健技术服务执业许可证核发（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行政相对人类别、行政许可决定书名称、行政许可决定书文号、审批类别、许可内容、法定代表人姓名、许可决定日期、许可截止日期、许可机关、当前状态、许可机关统一信用机构代码）</w:t>
            </w:r>
          </w:p>
        </w:tc>
        <w:tc>
          <w:tcPr>
            <w:tcW w:w="357" w:type="pct"/>
            <w:vMerge w:val="continue"/>
            <w:vAlign w:val="center"/>
          </w:tcPr>
          <w:p>
            <w:pPr>
              <w:widowControl/>
              <w:spacing w:line="220" w:lineRule="exact"/>
              <w:jc w:val="left"/>
              <w:rPr>
                <w:rFonts w:ascii="仿宋" w:hAnsi="仿宋" w:eastAsia="仿宋" w:cs="宋体"/>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327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行政许可</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中医医疗机构执业医师注册发证</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1、基本信息（事项名称、办结时限、实施主体、办件类型、办理形式、在线预约地址、网办地址、是否进驻政务大厅、跨域通办、审批信息、审批结果等）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9、权利义务</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10、法律救济</w:t>
            </w:r>
          </w:p>
        </w:tc>
        <w:tc>
          <w:tcPr>
            <w:tcW w:w="357" w:type="pct"/>
            <w:vMerge w:val="restart"/>
            <w:vAlign w:val="center"/>
          </w:tcPr>
          <w:p>
            <w:pPr>
              <w:widowControl/>
              <w:spacing w:line="220" w:lineRule="exact"/>
              <w:jc w:val="left"/>
              <w:rPr>
                <w:rFonts w:ascii="仿宋" w:hAnsi="仿宋" w:eastAsia="仿宋" w:cs="宋体"/>
                <w:kern w:val="0"/>
                <w:sz w:val="18"/>
                <w:szCs w:val="18"/>
              </w:rPr>
            </w:pPr>
            <w:r>
              <w:rPr>
                <w:rFonts w:hint="eastAsia" w:ascii="仿宋" w:hAnsi="仿宋" w:eastAsia="仿宋" w:cs="宋体"/>
                <w:kern w:val="0"/>
                <w:sz w:val="18"/>
                <w:szCs w:val="18"/>
              </w:rPr>
              <w:t>《医师执业注册管理办法》、《广东省人民政府关于将一批省级行政职权事项调整由各地级以上市实施的决定》、《中华人民共和国执业医师法》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子项包括中医医疗机构医师注销注册、中医医疗机构医师执业注册、中医医疗机构医师变更注册、中医医疗机构医师备案、中医医疗机构医师《医师执业证书》遗失补办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行政相对人类别、行政许可决定书名称、行政许可决定书文号、审批类别、许可内容、法定代表人姓名、许可决定日期、许可截止日期、许可机关、当前状态、许可机关统一信用机构代码）</w:t>
            </w:r>
          </w:p>
        </w:tc>
        <w:tc>
          <w:tcPr>
            <w:tcW w:w="357" w:type="pct"/>
            <w:vMerge w:val="continue"/>
            <w:vAlign w:val="center"/>
          </w:tcPr>
          <w:p>
            <w:pPr>
              <w:widowControl/>
              <w:spacing w:line="220" w:lineRule="exact"/>
              <w:jc w:val="left"/>
              <w:rPr>
                <w:rFonts w:ascii="仿宋" w:hAnsi="仿宋" w:eastAsia="仿宋" w:cs="宋体"/>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328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行政许可</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母婴保健技术考核合格证书核发</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1、基本信息（事项名称、办结时限、实施主体、办件类型、办理形式、在线预约地址、网办地址、是否进驻政务大厅、跨域通办、审批信息、审批结果等）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9、权利义务</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10、法律救济</w:t>
            </w:r>
          </w:p>
        </w:tc>
        <w:tc>
          <w:tcPr>
            <w:tcW w:w="357" w:type="pct"/>
            <w:vMerge w:val="restart"/>
            <w:vAlign w:val="center"/>
          </w:tcPr>
          <w:p>
            <w:pPr>
              <w:widowControl/>
              <w:spacing w:line="220" w:lineRule="exact"/>
              <w:jc w:val="left"/>
              <w:rPr>
                <w:rFonts w:ascii="仿宋" w:hAnsi="仿宋" w:eastAsia="仿宋" w:cs="宋体"/>
                <w:kern w:val="0"/>
                <w:sz w:val="18"/>
                <w:szCs w:val="18"/>
              </w:rPr>
            </w:pPr>
            <w:r>
              <w:rPr>
                <w:rFonts w:hint="eastAsia" w:ascii="仿宋" w:hAnsi="仿宋" w:eastAsia="仿宋" w:cs="宋体"/>
                <w:kern w:val="0"/>
                <w:sz w:val="18"/>
                <w:szCs w:val="18"/>
              </w:rPr>
              <w:t>《中华人民共和国母婴保健法》、《中华人民共和国母婴保健法实施办法》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子项包括婚前医学检查母婴保健技术考核合格证书核发（新申请）、婚前医学检查母婴保健技术考核合格证书核发（补办）、婚前医学检查母婴保健技术考核合格证书核发（注销）、遗传病诊断、产前诊断的母婴保健技术考核合格证书核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行政相对人类别、行政许可决定书名称、行政许可决定书文号、审批类别、许可内容、法定代表人姓名、许可决定日期、许可截止日期、许可机关、当前状态、许可机关统一信用机构代码）</w:t>
            </w:r>
          </w:p>
        </w:tc>
        <w:tc>
          <w:tcPr>
            <w:tcW w:w="357" w:type="pct"/>
            <w:vMerge w:val="continue"/>
            <w:vAlign w:val="center"/>
          </w:tcPr>
          <w:p>
            <w:pPr>
              <w:widowControl/>
              <w:spacing w:line="220" w:lineRule="exact"/>
              <w:jc w:val="left"/>
              <w:rPr>
                <w:rFonts w:ascii="仿宋" w:hAnsi="仿宋" w:eastAsia="仿宋" w:cs="宋体"/>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329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行政许可</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港澳台医师来内地短期行医核准</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1、基本信息（事项名称、办结时限、实施主体、办件类型、办理形式、在线预约地址、网办地址、是否进驻政务大厅、跨域通办、审批信息、审批结果等）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9、权利义务</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10、法律救济</w:t>
            </w:r>
          </w:p>
        </w:tc>
        <w:tc>
          <w:tcPr>
            <w:tcW w:w="357" w:type="pct"/>
            <w:vMerge w:val="restart"/>
            <w:vAlign w:val="center"/>
          </w:tcPr>
          <w:p>
            <w:pPr>
              <w:widowControl/>
              <w:spacing w:line="220" w:lineRule="exact"/>
              <w:jc w:val="left"/>
              <w:rPr>
                <w:rFonts w:ascii="仿宋" w:hAnsi="仿宋" w:eastAsia="仿宋" w:cs="宋体"/>
                <w:kern w:val="0"/>
                <w:sz w:val="18"/>
                <w:szCs w:val="18"/>
              </w:rPr>
            </w:pPr>
            <w:r>
              <w:rPr>
                <w:rFonts w:hint="eastAsia" w:ascii="仿宋" w:hAnsi="仿宋" w:eastAsia="仿宋" w:cs="宋体"/>
                <w:kern w:val="0"/>
                <w:sz w:val="18"/>
                <w:szCs w:val="18"/>
              </w:rPr>
              <w:t>《台湾地区医师在大陆短期行医管理规定》、《香港、澳门特别行政区医师在内地短期行医管理规定》、《广东省人民政府2012年行政审批制度改革事项目录（第一批）》（2012年粤府令第169号）</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行政相对人类别、行政许可决定书名称、行政许可决定书文号、审批类别、许可内容、法定代表人姓名、许可决定日期、许可截止日期、许可机关、当前状态、许可机关统一信用机构代码）</w:t>
            </w:r>
          </w:p>
        </w:tc>
        <w:tc>
          <w:tcPr>
            <w:tcW w:w="357" w:type="pct"/>
            <w:vMerge w:val="continue"/>
            <w:vAlign w:val="center"/>
          </w:tcPr>
          <w:p>
            <w:pPr>
              <w:widowControl/>
              <w:spacing w:line="220" w:lineRule="exact"/>
              <w:jc w:val="left"/>
              <w:rPr>
                <w:rFonts w:ascii="仿宋" w:hAnsi="仿宋" w:eastAsia="仿宋" w:cs="宋体"/>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330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行政许可</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放射卫生技术服务机构资质认定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1、基本信息（事项名称、办结时限、实施主体、办件类型、办理形式、在线预约地址、网办地址、是否进驻政务大厅、跨域通办、审批信息、审批结果等）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9、权利义务</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10、法律救济</w:t>
            </w:r>
          </w:p>
        </w:tc>
        <w:tc>
          <w:tcPr>
            <w:tcW w:w="357" w:type="pct"/>
            <w:vMerge w:val="restart"/>
            <w:vAlign w:val="center"/>
          </w:tcPr>
          <w:p>
            <w:pPr>
              <w:widowControl/>
              <w:spacing w:line="220" w:lineRule="exact"/>
              <w:jc w:val="left"/>
              <w:rPr>
                <w:rFonts w:ascii="仿宋" w:hAnsi="仿宋" w:eastAsia="仿宋" w:cs="宋体"/>
                <w:kern w:val="0"/>
                <w:sz w:val="18"/>
                <w:szCs w:val="18"/>
              </w:rPr>
            </w:pPr>
            <w:r>
              <w:rPr>
                <w:rFonts w:hint="eastAsia" w:ascii="仿宋" w:hAnsi="仿宋" w:eastAsia="仿宋" w:cs="宋体"/>
                <w:kern w:val="0"/>
                <w:sz w:val="18"/>
                <w:szCs w:val="18"/>
              </w:rPr>
              <w:t>《国家卫生和计划生育委员会公告2015年第3号》、《放射卫生技术服务机构管理办法》、《国务院关于取消和调整一批行政审批项目等事项的决定》、中华人民共和国职业病防治法、《广东省人民政府关于将一批省级行政职权事项继续委托各地级以上市实施的决定》（粤府〔2019〕16号）</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子项包括放射卫生技术服务机构资质认定（新证）、放射卫生技术服务机构资质认定（延续）、放射卫生技术服务机构资质认定（变更）、放射卫生技术服务机构资质认定（补办）、放射卫生技术服务机构资质认定（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行政相对人类别、行政许可决定书名称、行政许可决定书文号、审批类别、许可内容、法定代表人姓名、许可决定日期、许可截止日期、许可机关、当前状态、许可机关统一信用机构代码）</w:t>
            </w:r>
          </w:p>
        </w:tc>
        <w:tc>
          <w:tcPr>
            <w:tcW w:w="357" w:type="pct"/>
            <w:vMerge w:val="continue"/>
            <w:vAlign w:val="center"/>
          </w:tcPr>
          <w:p>
            <w:pPr>
              <w:widowControl/>
              <w:spacing w:line="220" w:lineRule="exact"/>
              <w:jc w:val="left"/>
              <w:rPr>
                <w:rFonts w:ascii="仿宋" w:hAnsi="仿宋" w:eastAsia="仿宋" w:cs="宋体"/>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331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行政许可</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医疗机构设置审批和执业许可</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1、基本信息（事项名称、办结时限、实施主体、办件类型、办理形式、在线预约地址、网办地址、是否进驻政务大厅、跨域通办、审批信息、审批结果等）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9、权利义务</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10、法律救济</w:t>
            </w:r>
          </w:p>
        </w:tc>
        <w:tc>
          <w:tcPr>
            <w:tcW w:w="357" w:type="pct"/>
            <w:vMerge w:val="restart"/>
            <w:vAlign w:val="center"/>
          </w:tcPr>
          <w:p>
            <w:pPr>
              <w:widowControl/>
              <w:spacing w:line="220" w:lineRule="exact"/>
              <w:jc w:val="left"/>
              <w:rPr>
                <w:rFonts w:ascii="仿宋" w:hAnsi="仿宋" w:eastAsia="仿宋" w:cs="宋体"/>
                <w:kern w:val="0"/>
                <w:sz w:val="18"/>
                <w:szCs w:val="18"/>
              </w:rPr>
            </w:pPr>
            <w:r>
              <w:rPr>
                <w:rFonts w:hint="eastAsia" w:ascii="仿宋" w:hAnsi="仿宋" w:eastAsia="仿宋" w:cs="宋体"/>
                <w:kern w:val="0"/>
                <w:sz w:val="18"/>
                <w:szCs w:val="18"/>
              </w:rPr>
              <w:t>《关于进一步鼓励和引导社会资本举办医疗机构意见的通知》、《医疗机构校验管理办法（试行）》、 《卫生部关于医疗机构审批管理的若干规定》、 《医疗机构管理条例》、《中外合资、合作医疗机构管理暂行办法》、《广东省卫生计生委关于进一步规范医疗机构审批管理的通知》、 《广东省人民政府关于将一批省级行政职权事项调整由各地级以上市实施的决定》、 《医疗机构管理条例实施细则》、《国务院关于取消和下放50项行政审批项目等事项的决定》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子项包括医疗机构设置审批、医疗机构执业许可（执业登记）、医疗机构执业许可（变更登记）、医疗机构执业许可（校验）、医疗机构执业许可（注销）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行政相对人类别、行政许可决定书名称、行政许可决定书文号、审批类别、许可内容、法定代表人姓名、许可决定日期、许可截止日期、许可机关、当前状态、许可机关统一信用机构代码）</w:t>
            </w:r>
          </w:p>
        </w:tc>
        <w:tc>
          <w:tcPr>
            <w:tcW w:w="357" w:type="pct"/>
            <w:vMerge w:val="continue"/>
            <w:vAlign w:val="center"/>
          </w:tcPr>
          <w:p>
            <w:pPr>
              <w:widowControl/>
              <w:spacing w:line="220" w:lineRule="exact"/>
              <w:jc w:val="left"/>
              <w:rPr>
                <w:rFonts w:ascii="仿宋" w:hAnsi="仿宋" w:eastAsia="仿宋" w:cs="宋体"/>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332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行政许可</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消毒产品生产企业卫生许可</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1、基本信息（事项名称、办结时限、实施主体、办件类型、办理形式、在线预约地址、网办地址、是否进驻政务大厅、跨域通办、审批信息、审批结果等）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9、权利义务</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10、法律救济</w:t>
            </w:r>
          </w:p>
        </w:tc>
        <w:tc>
          <w:tcPr>
            <w:tcW w:w="357" w:type="pct"/>
            <w:vMerge w:val="restart"/>
            <w:vAlign w:val="center"/>
          </w:tcPr>
          <w:p>
            <w:pPr>
              <w:widowControl/>
              <w:spacing w:line="220" w:lineRule="exact"/>
              <w:jc w:val="left"/>
              <w:rPr>
                <w:rFonts w:ascii="仿宋" w:hAnsi="仿宋" w:eastAsia="仿宋" w:cs="宋体"/>
                <w:kern w:val="0"/>
                <w:sz w:val="18"/>
                <w:szCs w:val="18"/>
              </w:rPr>
            </w:pPr>
            <w:r>
              <w:rPr>
                <w:rFonts w:hint="eastAsia" w:ascii="仿宋" w:hAnsi="仿宋" w:eastAsia="仿宋" w:cs="宋体"/>
                <w:kern w:val="0"/>
                <w:sz w:val="18"/>
                <w:szCs w:val="18"/>
              </w:rPr>
              <w:t>《广东省人民政府关于将一批省级行政职权事项调整由各地级以上市实施的决定》、《消毒管理办法》、《广东省人民政府第四轮行政审批事项调整目录》、《中华人民共和国传染病防治法》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子项包括消毒产品生产企业（一次性使用医疗用品的生产企业除外）卫生许可（新证）、消毒产品生产企业（一次性使用医疗用品的生产企业除外）卫生许可（延续）、消毒产品生产企业（一次性使用医疗用品的生产企业除外）卫生许可（变更）、消毒产品生产企业（一次性使用医疗用品的生产企业除外）卫生许可（补办）、消毒产品生产企业（一次性使用医疗用品的生产企业除外）卫生许可（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行政相对人类别、行政许可决定书名称、行政许可决定书文号、审批类别、许可内容、法定代表人姓名、许可决定日期、许可截止日期、许可机关、当前状态、许可机关统一信用机构代码）</w:t>
            </w:r>
          </w:p>
        </w:tc>
        <w:tc>
          <w:tcPr>
            <w:tcW w:w="357" w:type="pct"/>
            <w:vMerge w:val="continue"/>
            <w:vAlign w:val="center"/>
          </w:tcPr>
          <w:p>
            <w:pPr>
              <w:widowControl/>
              <w:spacing w:line="220" w:lineRule="exact"/>
              <w:jc w:val="left"/>
              <w:rPr>
                <w:rFonts w:ascii="仿宋" w:hAnsi="仿宋" w:eastAsia="仿宋" w:cs="宋体"/>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333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行政许可</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外籍医师来华短期行医核准</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1、基本信息（事项名称、办结时限、实施主体、办件类型、办理形式、在线预约地址、网办地址、是否进驻政务大厅、跨域通办、审批信息、审批结果等）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9、权利义务</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10、法律救济</w:t>
            </w:r>
          </w:p>
        </w:tc>
        <w:tc>
          <w:tcPr>
            <w:tcW w:w="357" w:type="pct"/>
            <w:vMerge w:val="restart"/>
            <w:vAlign w:val="center"/>
          </w:tcPr>
          <w:p>
            <w:pPr>
              <w:widowControl/>
              <w:spacing w:line="220" w:lineRule="exact"/>
              <w:jc w:val="left"/>
              <w:rPr>
                <w:rFonts w:ascii="仿宋" w:hAnsi="仿宋" w:eastAsia="仿宋" w:cs="宋体"/>
                <w:kern w:val="0"/>
                <w:sz w:val="18"/>
                <w:szCs w:val="18"/>
              </w:rPr>
            </w:pPr>
            <w:r>
              <w:rPr>
                <w:rFonts w:hint="eastAsia" w:ascii="仿宋" w:hAnsi="仿宋" w:eastAsia="仿宋" w:cs="宋体"/>
                <w:kern w:val="0"/>
                <w:sz w:val="18"/>
                <w:szCs w:val="18"/>
              </w:rPr>
              <w:t>《广东省人民政府2012年行政审批制度改革事项目录（第一批）》、《国务院对确需保留的行政审批项目设定行政许可的决定》《外国医师来华短期行医暂行管理办法》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行政相对人类别、行政许可决定书名称、行政许可决定书文号、审批类别、许可内容、法定代表人姓名、许可决定日期、许可截止日期、许可机关、当前状态、许可机关统一信用机构代码）</w:t>
            </w:r>
          </w:p>
        </w:tc>
        <w:tc>
          <w:tcPr>
            <w:tcW w:w="357" w:type="pct"/>
            <w:vMerge w:val="continue"/>
            <w:vAlign w:val="center"/>
          </w:tcPr>
          <w:p>
            <w:pPr>
              <w:widowControl/>
              <w:spacing w:line="220" w:lineRule="exact"/>
              <w:jc w:val="left"/>
              <w:rPr>
                <w:rFonts w:ascii="仿宋" w:hAnsi="仿宋" w:eastAsia="仿宋" w:cs="宋体"/>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334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行政许可</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医师执业证书核发</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1、基本信息（事项名称、办结时限、实施主体、办件类型、办理形式、在线预约地址、网办地址、是否进驻政务大厅、跨域通办、审批信息、审批结果等）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9、权利义务</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10、法律救济</w:t>
            </w:r>
          </w:p>
        </w:tc>
        <w:tc>
          <w:tcPr>
            <w:tcW w:w="357" w:type="pct"/>
            <w:vMerge w:val="restart"/>
            <w:vAlign w:val="center"/>
          </w:tcPr>
          <w:p>
            <w:pPr>
              <w:widowControl/>
              <w:spacing w:line="220" w:lineRule="exact"/>
              <w:jc w:val="left"/>
              <w:rPr>
                <w:rFonts w:ascii="仿宋" w:hAnsi="仿宋" w:eastAsia="仿宋" w:cs="宋体"/>
                <w:kern w:val="0"/>
                <w:sz w:val="18"/>
                <w:szCs w:val="18"/>
              </w:rPr>
            </w:pPr>
            <w:r>
              <w:rPr>
                <w:rFonts w:hint="eastAsia" w:ascii="仿宋" w:hAnsi="仿宋" w:eastAsia="仿宋" w:cs="宋体"/>
                <w:kern w:val="0"/>
                <w:sz w:val="18"/>
                <w:szCs w:val="18"/>
              </w:rPr>
              <w:t>《医师执业注册管理办法》、《中华人民共和国执业医师法》（1998年）、 《广东省人民政府关于将一批省级行政职权事项调整由各地级以上市实施的决定》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子项包括医师执业证书（注册）、医师执业证书（变更）、医师执业证书（注销）、医师执业证书核发（补办）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行政相对人类别、行政许可决定书名称、行政许可决定书文号、审批类别、许可内容、法定代表人姓名、许可决定日期、许可截止日期、许可机关、当前状态、许可机关统一信用机构代码）</w:t>
            </w:r>
          </w:p>
        </w:tc>
        <w:tc>
          <w:tcPr>
            <w:tcW w:w="357" w:type="pct"/>
            <w:vMerge w:val="continue"/>
            <w:vAlign w:val="center"/>
          </w:tcPr>
          <w:p>
            <w:pPr>
              <w:widowControl/>
              <w:spacing w:line="220" w:lineRule="exact"/>
              <w:jc w:val="left"/>
              <w:rPr>
                <w:rFonts w:ascii="仿宋" w:hAnsi="仿宋" w:eastAsia="仿宋" w:cs="宋体"/>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335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行政许可</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戒毒医疗服务许可</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1、基本信息（事项名称、办结时限、实施主体、办件类型、办理形式、在线预约地址、网办地址、是否进驻政务大厅、跨域通办、审批信息、审批结果等）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9、权利义务</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10、法律救济</w:t>
            </w:r>
          </w:p>
        </w:tc>
        <w:tc>
          <w:tcPr>
            <w:tcW w:w="357" w:type="pct"/>
            <w:vMerge w:val="restart"/>
            <w:vAlign w:val="center"/>
          </w:tcPr>
          <w:p>
            <w:pPr>
              <w:widowControl/>
              <w:spacing w:line="220" w:lineRule="exact"/>
              <w:jc w:val="left"/>
              <w:rPr>
                <w:rFonts w:ascii="仿宋" w:hAnsi="仿宋" w:eastAsia="仿宋" w:cs="宋体"/>
                <w:kern w:val="0"/>
                <w:sz w:val="18"/>
                <w:szCs w:val="18"/>
              </w:rPr>
            </w:pPr>
            <w:r>
              <w:rPr>
                <w:rFonts w:hint="eastAsia" w:ascii="仿宋" w:hAnsi="仿宋" w:eastAsia="仿宋" w:cs="宋体"/>
                <w:kern w:val="0"/>
                <w:sz w:val="18"/>
                <w:szCs w:val="18"/>
              </w:rPr>
              <w:t>《中华人民共和国禁毒法》、《戒毒医疗服务管理暂行办法》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行政相对人类别、行政许可决定书名称、行政许可决定书文号、审批类别、许可内容、法定代表人姓名、许可决定日期、许可截止日期、许可机关、当前状态、许可机关统一信用机构代码）</w:t>
            </w:r>
          </w:p>
        </w:tc>
        <w:tc>
          <w:tcPr>
            <w:tcW w:w="357" w:type="pct"/>
            <w:vMerge w:val="continue"/>
            <w:vAlign w:val="center"/>
          </w:tcPr>
          <w:p>
            <w:pPr>
              <w:widowControl/>
              <w:spacing w:line="220" w:lineRule="exact"/>
              <w:jc w:val="left"/>
              <w:rPr>
                <w:rFonts w:ascii="仿宋" w:hAnsi="仿宋" w:eastAsia="仿宋" w:cs="宋体"/>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336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行政许可</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护士执业证书核发</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1、基本信息（事项名称、办结时限、实施主体、办件类型、办理形式、在线预约地址、网办地址、是否进驻政务大厅、跨域通办、审批信息、审批结果等）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9、权利义务</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10、法律救济</w:t>
            </w:r>
          </w:p>
        </w:tc>
        <w:tc>
          <w:tcPr>
            <w:tcW w:w="357" w:type="pct"/>
            <w:vMerge w:val="restart"/>
            <w:vAlign w:val="center"/>
          </w:tcPr>
          <w:p>
            <w:pPr>
              <w:widowControl/>
              <w:spacing w:line="220" w:lineRule="exact"/>
              <w:jc w:val="left"/>
              <w:rPr>
                <w:rFonts w:ascii="仿宋" w:hAnsi="仿宋" w:eastAsia="仿宋" w:cs="宋体"/>
                <w:kern w:val="0"/>
                <w:sz w:val="18"/>
                <w:szCs w:val="18"/>
              </w:rPr>
            </w:pPr>
            <w:r>
              <w:rPr>
                <w:rFonts w:hint="eastAsia" w:ascii="仿宋" w:hAnsi="仿宋" w:eastAsia="仿宋" w:cs="宋体"/>
                <w:kern w:val="0"/>
                <w:sz w:val="18"/>
                <w:szCs w:val="18"/>
              </w:rPr>
              <w:t>《护士执业注册管理办法》、《 护士条例》、《国务院关于取消和下放一批行政许可事项的决定》、《护士执业注册管理办法》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子项包括护士执业证书核发（首次注册） 、护士执业证书核发（延续注册）、护士执业证书核发（变更注册）、护士执业证书核发（注销注册）、护士执业证书核发（重新注册）、护士执业证书遗失补办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行政相对人类别、行政许可决定书名称、行政许可决定书文号、审批类别、许可内容、法定代表人姓名、许可决定日期、许可截止日期、许可机关、当前状态、许可机关统一信用机构代码）</w:t>
            </w:r>
          </w:p>
        </w:tc>
        <w:tc>
          <w:tcPr>
            <w:tcW w:w="357" w:type="pct"/>
            <w:vMerge w:val="continue"/>
            <w:vAlign w:val="center"/>
          </w:tcPr>
          <w:p>
            <w:pPr>
              <w:widowControl/>
              <w:spacing w:line="220" w:lineRule="exact"/>
              <w:jc w:val="left"/>
              <w:rPr>
                <w:rFonts w:ascii="仿宋" w:hAnsi="仿宋" w:eastAsia="仿宋" w:cs="宋体"/>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337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行政许可</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放射诊疗许可</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1、基本信息（事项名称、办结时限、实施主体、办件类型、办理形式、在线预约地址、网办地址、是否进驻政务大厅、跨域通办、审批信息、审批结果等）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9、权利义务</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10、法律救济</w:t>
            </w:r>
          </w:p>
        </w:tc>
        <w:tc>
          <w:tcPr>
            <w:tcW w:w="357" w:type="pct"/>
            <w:vMerge w:val="restart"/>
            <w:vAlign w:val="center"/>
          </w:tcPr>
          <w:p>
            <w:pPr>
              <w:widowControl/>
              <w:spacing w:line="220" w:lineRule="exact"/>
              <w:jc w:val="left"/>
              <w:rPr>
                <w:rFonts w:ascii="仿宋" w:hAnsi="仿宋" w:eastAsia="仿宋" w:cs="宋体"/>
                <w:kern w:val="0"/>
                <w:sz w:val="18"/>
                <w:szCs w:val="18"/>
              </w:rPr>
            </w:pPr>
            <w:r>
              <w:rPr>
                <w:rFonts w:hint="eastAsia" w:ascii="仿宋" w:hAnsi="仿宋" w:eastAsia="仿宋" w:cs="宋体"/>
                <w:kern w:val="0"/>
                <w:sz w:val="18"/>
                <w:szCs w:val="18"/>
              </w:rPr>
              <w:t>《卫生部关于印发放射诊疗许可发放管理程序的通知》、《广东省人民政府关于将一批省级行政职权事项继续委托各地级以上市实施的决定》（粤府〔2019〕16号）、中华人民共和国职业病防治法、《放射性同位素与射线装置安全和防护条例》、《放射诊疗管理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子项包括放射诊疗许可（新证）、放射诊疗许可（校验）、放射诊疗许可（变更）、放射诊疗许可（补办）、放射诊疗许可（注销）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行政相对人类别、行政许可决定书名称、行政许可决定书文号、审批类别、许可内容、法定代表人姓名、许可决定日期、许可截止日期、许可机关、当前状态、许可机关统一信用机构代码）</w:t>
            </w:r>
          </w:p>
        </w:tc>
        <w:tc>
          <w:tcPr>
            <w:tcW w:w="357" w:type="pct"/>
            <w:vMerge w:val="continue"/>
            <w:vAlign w:val="center"/>
          </w:tcPr>
          <w:p>
            <w:pPr>
              <w:widowControl/>
              <w:spacing w:line="220" w:lineRule="exact"/>
              <w:jc w:val="left"/>
              <w:rPr>
                <w:rFonts w:ascii="仿宋" w:hAnsi="仿宋" w:eastAsia="仿宋" w:cs="宋体"/>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338</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其他行政权力</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对开设病媒生物预防控制或者增加此类经营项目、以及开展异地病媒生物预防控制的有偿服务机构进行备案</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1、基本信息（事项名称、办结时限、实施主体、实施主体性质、办件类型、办理形式、在线预约地址、网办地址、跨域通办、审批信息、审批结果、编码代码、特别程序、中介服务、其他信息等）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kern w:val="0"/>
                <w:sz w:val="18"/>
                <w:szCs w:val="18"/>
              </w:rPr>
            </w:pPr>
            <w:r>
              <w:rPr>
                <w:rFonts w:hint="eastAsia" w:ascii="仿宋" w:hAnsi="仿宋" w:eastAsia="仿宋" w:cs="宋体"/>
                <w:kern w:val="0"/>
                <w:sz w:val="18"/>
                <w:szCs w:val="18"/>
              </w:rPr>
              <w:t>《广东省病媒生物预防控制管理规定》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339</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其他行政权力</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新建、扩建、改建放射诊疗建设项目卫生审查(预评价审核）</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1、基本信息（事项名称、办结时限、实施主体、实施主体性质、办件类型、办理形式、在线预约地址、网办地址、跨域通办、审批信息、审批结果、编码代码、特别程序、中介服务、其他信息等）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kern w:val="0"/>
                <w:sz w:val="18"/>
                <w:szCs w:val="18"/>
              </w:rPr>
            </w:pPr>
            <w:r>
              <w:rPr>
                <w:rFonts w:hint="eastAsia" w:ascii="仿宋" w:hAnsi="仿宋" w:eastAsia="仿宋" w:cs="宋体"/>
                <w:kern w:val="0"/>
                <w:sz w:val="18"/>
                <w:szCs w:val="18"/>
              </w:rPr>
              <w:t>《中华人民共和国职业病防治法》、《放射诊疗管理规定》、卫生部《关于印发〈放射卫生技术服务机构管理办法〉等文件的通知》</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340</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其他行政权力</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新建、扩建、改建放射诊疗建设项目竣工验收</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1、基本信息（事项名称、办结时限、实施主体、实施主体性质、办件类型、办理形式、在线预约地址、网办地址、跨域通办、审批信息、审批结果、编码代码、特别程序、中介服务、其他信息等）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kern w:val="0"/>
                <w:sz w:val="18"/>
                <w:szCs w:val="18"/>
              </w:rPr>
            </w:pPr>
            <w:r>
              <w:rPr>
                <w:rFonts w:hint="eastAsia" w:ascii="仿宋" w:hAnsi="仿宋" w:eastAsia="仿宋" w:cs="宋体"/>
                <w:kern w:val="0"/>
                <w:sz w:val="18"/>
                <w:szCs w:val="18"/>
              </w:rPr>
              <w:t>《放射诊疗管理规定》、《中华人民共和国职业病防治法》、卫生部《关于印发〈放射卫生技术服务机构管理办法〉等文件的通知》</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341</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其他行政权力</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医疗卫生机构伦理委员会备案</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1、基本信息（事项名称、办结时限、实施主体、实施主体性质、办件类型、办理形式、在线预约地址、网办地址、跨域通办、审批信息、审批结果、编码代码、特别程序、中介服务、其他信息等）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kern w:val="0"/>
                <w:sz w:val="18"/>
                <w:szCs w:val="18"/>
              </w:rPr>
            </w:pPr>
            <w:r>
              <w:rPr>
                <w:rFonts w:hint="eastAsia" w:ascii="仿宋" w:hAnsi="仿宋" w:eastAsia="仿宋" w:cs="宋体"/>
                <w:kern w:val="0"/>
                <w:sz w:val="18"/>
                <w:szCs w:val="18"/>
              </w:rPr>
              <w:t>《涉及人的生物医学研究伦理审查办法》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342</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其他行政权力</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食品安全企业标准备案</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1、基本信息（事项名称、办结时限、实施主体、实施主体性质、办件类型、办理形式、在线预约地址、网办地址、跨域通办、审批信息、审批结果、编码代码、特别程序、中介服务、其他信息等）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kern w:val="0"/>
                <w:sz w:val="18"/>
                <w:szCs w:val="18"/>
              </w:rPr>
            </w:pPr>
            <w:r>
              <w:rPr>
                <w:rFonts w:hint="eastAsia" w:ascii="仿宋" w:hAnsi="仿宋" w:eastAsia="仿宋" w:cs="宋体"/>
                <w:kern w:val="0"/>
                <w:sz w:val="18"/>
                <w:szCs w:val="18"/>
              </w:rPr>
              <w:t>《食品安全法》、《广东省人民政府关于将一批省级行政职权事项继续委托各地级以上市实施的决定》、《广东省卫生健康委关于食品安全企业标准的备案办法》、《国家卫生计生委办公厅关于进一步加强食品安全标准管理工作的通知》、《广东省卫生计生委办公室关于做好食品安全企业标准备案委托实施工作的通知》、《中华人民共和国食品安全法实施条例》、《广东省卫生计生委 广东省中医药局关于将一批省级行政职权事项调整由各地级以上市实施的公告》、《广东省人民政府关于将一批省级行政职权事项调整由各地级以上市实施的决定》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343</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其他行政权力</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医疗机构停业批准</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1、基本信息（事项名称、办结时限、实施主体、实施主体性质、办件类型、办理形式、在线预约地址、网办地址、跨域通办、审批信息、审批结果、编码代码、特别程序、中介服务、其他信息等）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kern w:val="0"/>
                <w:sz w:val="18"/>
                <w:szCs w:val="18"/>
              </w:rPr>
            </w:pPr>
            <w:r>
              <w:rPr>
                <w:rFonts w:hint="eastAsia" w:ascii="仿宋" w:hAnsi="仿宋" w:eastAsia="仿宋" w:cs="宋体"/>
                <w:kern w:val="0"/>
                <w:sz w:val="18"/>
                <w:szCs w:val="18"/>
              </w:rPr>
              <w:t>《医疗机构管理条例》、《医疗机构管理条例实施细则》</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344</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其他行政权力</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消毒产品备案</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1、基本信息（事项名称、办结时限、实施主体、实施主体性质、办件类型、办理形式、在线预约地址、网办地址、跨域通办、审批信息、审批结果、编码代码、特别程序、中介服务、其他信息等）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kern w:val="0"/>
                <w:sz w:val="18"/>
                <w:szCs w:val="18"/>
              </w:rPr>
            </w:pPr>
            <w:r>
              <w:rPr>
                <w:rFonts w:hint="eastAsia" w:ascii="仿宋" w:hAnsi="仿宋" w:eastAsia="仿宋" w:cs="宋体"/>
                <w:kern w:val="0"/>
                <w:sz w:val="18"/>
                <w:szCs w:val="18"/>
              </w:rPr>
              <w:t>《国家卫生计生委关于印发消毒产品卫生安全评价规定的通知》</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345</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政务服务</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生育指导和宣传服务</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1、基本信息（事项名称、办结时限、实施主体、实施主体性质、办件类型、办理形式、在线预约地址、网办地址、跨域通办、审批信息、审批结果、编码代码、特别程序、中介服务、其他信息等）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《中华人民共和国政府信息公开条例》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346</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政务服务</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一、二级病原微生物实验室和实验活动备案</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1、基本信息（事项名称、办结时限、实施主体、实施主体性质、办件类型、办理形式、在线预约地址、网办地址、跨域通办、审批信息、审批结果、编码代码、特别程序、中介服务、其他信息等）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《病原微生物实验室生物安全管理条例》、《广东省卫生厅关于一、二级病原微生物实验室生物安全的管理规定》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347</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政务服务</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医师、助理医师资格考试的报名资格审核</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1、基本信息（事项名称、办结时限、实施主体、实施主体性质、办件类型、办理形式、在线预约地址、网办地址、跨域通办、审批信息、审批结果、编码代码、特别程序、中介服务、其他信息等）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《广东省卫生健康委关于印发（广东省医师资格、护士执业资格和卫生专业技术资格考试收费标准）的通知》</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348</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政务服务</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作业场所职业危害项目申报</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1、基本信息（事项名称、办结时限、实施主体、实施主体性质、办件类型、办理形式、在线预约地址、网办地址、跨域通办、审批信息、审批结果、编码代码、特别程序、中介服务、其他信息等）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《职业病危害项目申报办法》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bl>
    <w:p>
      <w:pPr>
        <w:snapToGrid w:val="0"/>
        <w:spacing w:line="220" w:lineRule="exact"/>
        <w:jc w:val="left"/>
        <w:rPr>
          <w:rFonts w:eastAsia="方正小标宋_GBK"/>
          <w:color w:val="000000"/>
          <w:sz w:val="18"/>
          <w:szCs w:val="18"/>
        </w:rPr>
      </w:pPr>
    </w:p>
    <w:sectPr>
      <w:pgSz w:w="16839" w:h="11907" w:orient="landscape"/>
      <w:pgMar w:top="964" w:right="720" w:bottom="964" w:left="720" w:header="851" w:footer="992" w:gutter="0"/>
      <w:cols w:space="720"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kNTM1OWRiNDE5YWJjYWUyODZkZWYyMzgzNzhjODkifQ=="/>
  </w:docVars>
  <w:rsids>
    <w:rsidRoot w:val="001029DD"/>
    <w:rsid w:val="00001AA6"/>
    <w:rsid w:val="00002398"/>
    <w:rsid w:val="000131EA"/>
    <w:rsid w:val="00025B05"/>
    <w:rsid w:val="00027917"/>
    <w:rsid w:val="00030443"/>
    <w:rsid w:val="00036066"/>
    <w:rsid w:val="0004081C"/>
    <w:rsid w:val="00041B02"/>
    <w:rsid w:val="00042A96"/>
    <w:rsid w:val="00047289"/>
    <w:rsid w:val="000522BF"/>
    <w:rsid w:val="000527FB"/>
    <w:rsid w:val="000547CB"/>
    <w:rsid w:val="000616E2"/>
    <w:rsid w:val="00064F54"/>
    <w:rsid w:val="000724DD"/>
    <w:rsid w:val="0007475F"/>
    <w:rsid w:val="00080D20"/>
    <w:rsid w:val="00092E5F"/>
    <w:rsid w:val="00097F1F"/>
    <w:rsid w:val="000B6711"/>
    <w:rsid w:val="000B792B"/>
    <w:rsid w:val="000B7FD9"/>
    <w:rsid w:val="000C1C87"/>
    <w:rsid w:val="000C3F18"/>
    <w:rsid w:val="000C7AAD"/>
    <w:rsid w:val="000D6C93"/>
    <w:rsid w:val="000E3FD0"/>
    <w:rsid w:val="000E4E57"/>
    <w:rsid w:val="000E56DD"/>
    <w:rsid w:val="000F205B"/>
    <w:rsid w:val="000F557E"/>
    <w:rsid w:val="001029DD"/>
    <w:rsid w:val="00112B01"/>
    <w:rsid w:val="00120D03"/>
    <w:rsid w:val="00124DC3"/>
    <w:rsid w:val="0013221D"/>
    <w:rsid w:val="001445BD"/>
    <w:rsid w:val="001474DA"/>
    <w:rsid w:val="00152868"/>
    <w:rsid w:val="00152A97"/>
    <w:rsid w:val="001573A1"/>
    <w:rsid w:val="00160463"/>
    <w:rsid w:val="00176DB8"/>
    <w:rsid w:val="001837DB"/>
    <w:rsid w:val="00195523"/>
    <w:rsid w:val="001B16B1"/>
    <w:rsid w:val="001C0387"/>
    <w:rsid w:val="001D0FBD"/>
    <w:rsid w:val="001D1519"/>
    <w:rsid w:val="001D3F82"/>
    <w:rsid w:val="001E1B94"/>
    <w:rsid w:val="001E5D63"/>
    <w:rsid w:val="001E6232"/>
    <w:rsid w:val="001E7188"/>
    <w:rsid w:val="001F10F5"/>
    <w:rsid w:val="001F52CB"/>
    <w:rsid w:val="00200493"/>
    <w:rsid w:val="00204B64"/>
    <w:rsid w:val="0020736A"/>
    <w:rsid w:val="00214D02"/>
    <w:rsid w:val="002342DA"/>
    <w:rsid w:val="00243BC5"/>
    <w:rsid w:val="002442FD"/>
    <w:rsid w:val="00246CAB"/>
    <w:rsid w:val="002525B1"/>
    <w:rsid w:val="002566C5"/>
    <w:rsid w:val="00256955"/>
    <w:rsid w:val="00276623"/>
    <w:rsid w:val="00277CC5"/>
    <w:rsid w:val="00287FE1"/>
    <w:rsid w:val="002C49FE"/>
    <w:rsid w:val="002E1F43"/>
    <w:rsid w:val="002E7DD0"/>
    <w:rsid w:val="002F3681"/>
    <w:rsid w:val="002F51B8"/>
    <w:rsid w:val="002F625D"/>
    <w:rsid w:val="00305862"/>
    <w:rsid w:val="00310382"/>
    <w:rsid w:val="0031796B"/>
    <w:rsid w:val="00331EFB"/>
    <w:rsid w:val="003342E3"/>
    <w:rsid w:val="00342B43"/>
    <w:rsid w:val="00363644"/>
    <w:rsid w:val="003638F6"/>
    <w:rsid w:val="0037416A"/>
    <w:rsid w:val="00390C44"/>
    <w:rsid w:val="003964C6"/>
    <w:rsid w:val="003B2769"/>
    <w:rsid w:val="003B6A69"/>
    <w:rsid w:val="003C479A"/>
    <w:rsid w:val="003D37FA"/>
    <w:rsid w:val="003E348E"/>
    <w:rsid w:val="003E38C9"/>
    <w:rsid w:val="003E49C9"/>
    <w:rsid w:val="004004C6"/>
    <w:rsid w:val="00401091"/>
    <w:rsid w:val="004018BA"/>
    <w:rsid w:val="00406D83"/>
    <w:rsid w:val="004102D8"/>
    <w:rsid w:val="00413659"/>
    <w:rsid w:val="00415EDD"/>
    <w:rsid w:val="004201A9"/>
    <w:rsid w:val="00420303"/>
    <w:rsid w:val="00426A41"/>
    <w:rsid w:val="00430319"/>
    <w:rsid w:val="0043102D"/>
    <w:rsid w:val="004375AD"/>
    <w:rsid w:val="0044691D"/>
    <w:rsid w:val="00461954"/>
    <w:rsid w:val="0046367F"/>
    <w:rsid w:val="0047464B"/>
    <w:rsid w:val="0048443B"/>
    <w:rsid w:val="004861CD"/>
    <w:rsid w:val="00496188"/>
    <w:rsid w:val="004967CC"/>
    <w:rsid w:val="004B2316"/>
    <w:rsid w:val="004C4E43"/>
    <w:rsid w:val="004C5EB3"/>
    <w:rsid w:val="004E79B0"/>
    <w:rsid w:val="004F0D35"/>
    <w:rsid w:val="004F603A"/>
    <w:rsid w:val="004F74DC"/>
    <w:rsid w:val="00503F9B"/>
    <w:rsid w:val="005139B9"/>
    <w:rsid w:val="00522FFB"/>
    <w:rsid w:val="00524532"/>
    <w:rsid w:val="005301B1"/>
    <w:rsid w:val="00531221"/>
    <w:rsid w:val="00533B16"/>
    <w:rsid w:val="0053740D"/>
    <w:rsid w:val="00541A55"/>
    <w:rsid w:val="0054461D"/>
    <w:rsid w:val="00552C1A"/>
    <w:rsid w:val="00553E43"/>
    <w:rsid w:val="00562A6A"/>
    <w:rsid w:val="00562D5E"/>
    <w:rsid w:val="00570124"/>
    <w:rsid w:val="005753B9"/>
    <w:rsid w:val="00577A89"/>
    <w:rsid w:val="00586E25"/>
    <w:rsid w:val="005974BA"/>
    <w:rsid w:val="00597791"/>
    <w:rsid w:val="005B1C6C"/>
    <w:rsid w:val="005B4105"/>
    <w:rsid w:val="005C0E93"/>
    <w:rsid w:val="005C3F7A"/>
    <w:rsid w:val="005D1E73"/>
    <w:rsid w:val="005D43A6"/>
    <w:rsid w:val="005D5B5A"/>
    <w:rsid w:val="005D5EB2"/>
    <w:rsid w:val="0061353E"/>
    <w:rsid w:val="006145F1"/>
    <w:rsid w:val="00615120"/>
    <w:rsid w:val="00620B68"/>
    <w:rsid w:val="006218C8"/>
    <w:rsid w:val="00634B1F"/>
    <w:rsid w:val="00636670"/>
    <w:rsid w:val="00653413"/>
    <w:rsid w:val="006625CB"/>
    <w:rsid w:val="00667432"/>
    <w:rsid w:val="00676A5F"/>
    <w:rsid w:val="0068335A"/>
    <w:rsid w:val="0068428D"/>
    <w:rsid w:val="006875D7"/>
    <w:rsid w:val="0069200A"/>
    <w:rsid w:val="006A2EFF"/>
    <w:rsid w:val="006A7458"/>
    <w:rsid w:val="006A780E"/>
    <w:rsid w:val="006B2987"/>
    <w:rsid w:val="006C07D2"/>
    <w:rsid w:val="006C1E6E"/>
    <w:rsid w:val="006C502D"/>
    <w:rsid w:val="006D4777"/>
    <w:rsid w:val="006D54FD"/>
    <w:rsid w:val="006D7D70"/>
    <w:rsid w:val="006E0EA1"/>
    <w:rsid w:val="006E3C70"/>
    <w:rsid w:val="00702387"/>
    <w:rsid w:val="00707146"/>
    <w:rsid w:val="00713549"/>
    <w:rsid w:val="00714EF5"/>
    <w:rsid w:val="00722659"/>
    <w:rsid w:val="00730AEC"/>
    <w:rsid w:val="00733F70"/>
    <w:rsid w:val="00734BE1"/>
    <w:rsid w:val="00741DFE"/>
    <w:rsid w:val="007523FE"/>
    <w:rsid w:val="00765140"/>
    <w:rsid w:val="00765F12"/>
    <w:rsid w:val="0077159B"/>
    <w:rsid w:val="00797EE6"/>
    <w:rsid w:val="007A0F1C"/>
    <w:rsid w:val="007A2BAA"/>
    <w:rsid w:val="007A2FC4"/>
    <w:rsid w:val="007D03C5"/>
    <w:rsid w:val="007D5054"/>
    <w:rsid w:val="007E207F"/>
    <w:rsid w:val="007E3A76"/>
    <w:rsid w:val="007E4B0A"/>
    <w:rsid w:val="007E56BE"/>
    <w:rsid w:val="007F2CC2"/>
    <w:rsid w:val="008021D9"/>
    <w:rsid w:val="00802687"/>
    <w:rsid w:val="008058AE"/>
    <w:rsid w:val="0081670C"/>
    <w:rsid w:val="0081744F"/>
    <w:rsid w:val="00821FF6"/>
    <w:rsid w:val="00824913"/>
    <w:rsid w:val="00832ADC"/>
    <w:rsid w:val="00843F30"/>
    <w:rsid w:val="008623E4"/>
    <w:rsid w:val="00864126"/>
    <w:rsid w:val="00873F00"/>
    <w:rsid w:val="00875520"/>
    <w:rsid w:val="00887F7E"/>
    <w:rsid w:val="008960A3"/>
    <w:rsid w:val="008964C9"/>
    <w:rsid w:val="008A2B19"/>
    <w:rsid w:val="008B02E8"/>
    <w:rsid w:val="008C2854"/>
    <w:rsid w:val="008E1271"/>
    <w:rsid w:val="008E4207"/>
    <w:rsid w:val="008E509B"/>
    <w:rsid w:val="008E7298"/>
    <w:rsid w:val="008F2292"/>
    <w:rsid w:val="008F64A2"/>
    <w:rsid w:val="00900121"/>
    <w:rsid w:val="00901A4A"/>
    <w:rsid w:val="00904A4F"/>
    <w:rsid w:val="00911E74"/>
    <w:rsid w:val="00912CB9"/>
    <w:rsid w:val="00913D74"/>
    <w:rsid w:val="0093084E"/>
    <w:rsid w:val="009319CD"/>
    <w:rsid w:val="00935C43"/>
    <w:rsid w:val="00940995"/>
    <w:rsid w:val="00941AEC"/>
    <w:rsid w:val="00943840"/>
    <w:rsid w:val="00975406"/>
    <w:rsid w:val="00976281"/>
    <w:rsid w:val="00981EE8"/>
    <w:rsid w:val="0098374F"/>
    <w:rsid w:val="009851B4"/>
    <w:rsid w:val="00994FF0"/>
    <w:rsid w:val="009966F6"/>
    <w:rsid w:val="009978A3"/>
    <w:rsid w:val="009A0931"/>
    <w:rsid w:val="009A2A84"/>
    <w:rsid w:val="009B0AF5"/>
    <w:rsid w:val="009B113C"/>
    <w:rsid w:val="009B126D"/>
    <w:rsid w:val="009B3A63"/>
    <w:rsid w:val="009C3B7E"/>
    <w:rsid w:val="009E3E2E"/>
    <w:rsid w:val="009F4D41"/>
    <w:rsid w:val="00A01B8E"/>
    <w:rsid w:val="00A07342"/>
    <w:rsid w:val="00A10922"/>
    <w:rsid w:val="00A12289"/>
    <w:rsid w:val="00A12443"/>
    <w:rsid w:val="00A17D66"/>
    <w:rsid w:val="00A34C94"/>
    <w:rsid w:val="00A46DAD"/>
    <w:rsid w:val="00A515D8"/>
    <w:rsid w:val="00A63F2F"/>
    <w:rsid w:val="00A64ABC"/>
    <w:rsid w:val="00A72F3E"/>
    <w:rsid w:val="00A823B6"/>
    <w:rsid w:val="00A85301"/>
    <w:rsid w:val="00AA078E"/>
    <w:rsid w:val="00AA3270"/>
    <w:rsid w:val="00AB6949"/>
    <w:rsid w:val="00AB701E"/>
    <w:rsid w:val="00AC04B0"/>
    <w:rsid w:val="00AC0E0D"/>
    <w:rsid w:val="00AC30F4"/>
    <w:rsid w:val="00AC557E"/>
    <w:rsid w:val="00AD2954"/>
    <w:rsid w:val="00AF0044"/>
    <w:rsid w:val="00AF3285"/>
    <w:rsid w:val="00B0463E"/>
    <w:rsid w:val="00B07002"/>
    <w:rsid w:val="00B07F19"/>
    <w:rsid w:val="00B33B7B"/>
    <w:rsid w:val="00B346F4"/>
    <w:rsid w:val="00B371DE"/>
    <w:rsid w:val="00B40AE1"/>
    <w:rsid w:val="00B44B40"/>
    <w:rsid w:val="00B5222B"/>
    <w:rsid w:val="00B64BD7"/>
    <w:rsid w:val="00B75C3A"/>
    <w:rsid w:val="00B9544F"/>
    <w:rsid w:val="00BA1EDF"/>
    <w:rsid w:val="00BA522B"/>
    <w:rsid w:val="00BB033A"/>
    <w:rsid w:val="00BB400B"/>
    <w:rsid w:val="00BD0D80"/>
    <w:rsid w:val="00BD52E6"/>
    <w:rsid w:val="00BF7551"/>
    <w:rsid w:val="00C0337F"/>
    <w:rsid w:val="00C15EF3"/>
    <w:rsid w:val="00C16A14"/>
    <w:rsid w:val="00C267CA"/>
    <w:rsid w:val="00C34D0D"/>
    <w:rsid w:val="00C365B4"/>
    <w:rsid w:val="00C41ED1"/>
    <w:rsid w:val="00C42D9C"/>
    <w:rsid w:val="00C4399C"/>
    <w:rsid w:val="00C4562C"/>
    <w:rsid w:val="00C46337"/>
    <w:rsid w:val="00C51CEA"/>
    <w:rsid w:val="00C532D4"/>
    <w:rsid w:val="00C72DC7"/>
    <w:rsid w:val="00C845B5"/>
    <w:rsid w:val="00C8589D"/>
    <w:rsid w:val="00C90DC3"/>
    <w:rsid w:val="00C91416"/>
    <w:rsid w:val="00C937E0"/>
    <w:rsid w:val="00CA37BB"/>
    <w:rsid w:val="00CA5464"/>
    <w:rsid w:val="00CA65C9"/>
    <w:rsid w:val="00CB0E47"/>
    <w:rsid w:val="00CB1B70"/>
    <w:rsid w:val="00CB21AB"/>
    <w:rsid w:val="00CB7702"/>
    <w:rsid w:val="00CC2E55"/>
    <w:rsid w:val="00CC402F"/>
    <w:rsid w:val="00CC44DA"/>
    <w:rsid w:val="00CC6A8C"/>
    <w:rsid w:val="00CD0557"/>
    <w:rsid w:val="00CE1894"/>
    <w:rsid w:val="00CE58FF"/>
    <w:rsid w:val="00D0148D"/>
    <w:rsid w:val="00D02E1E"/>
    <w:rsid w:val="00D05E73"/>
    <w:rsid w:val="00D07E2B"/>
    <w:rsid w:val="00D14DD6"/>
    <w:rsid w:val="00D20161"/>
    <w:rsid w:val="00D26563"/>
    <w:rsid w:val="00D34012"/>
    <w:rsid w:val="00D45952"/>
    <w:rsid w:val="00D45F50"/>
    <w:rsid w:val="00D512A7"/>
    <w:rsid w:val="00D56CF0"/>
    <w:rsid w:val="00D714F3"/>
    <w:rsid w:val="00D733D9"/>
    <w:rsid w:val="00D754F6"/>
    <w:rsid w:val="00D75726"/>
    <w:rsid w:val="00D85A9C"/>
    <w:rsid w:val="00D91329"/>
    <w:rsid w:val="00DA60EA"/>
    <w:rsid w:val="00DB19C1"/>
    <w:rsid w:val="00DC6DFE"/>
    <w:rsid w:val="00DD78C7"/>
    <w:rsid w:val="00DD7AE7"/>
    <w:rsid w:val="00DE3082"/>
    <w:rsid w:val="00DE7D13"/>
    <w:rsid w:val="00E12E04"/>
    <w:rsid w:val="00E12E41"/>
    <w:rsid w:val="00E13B82"/>
    <w:rsid w:val="00E164CF"/>
    <w:rsid w:val="00E23CD7"/>
    <w:rsid w:val="00E254B5"/>
    <w:rsid w:val="00E41EB9"/>
    <w:rsid w:val="00E4310B"/>
    <w:rsid w:val="00E5621C"/>
    <w:rsid w:val="00E56CDE"/>
    <w:rsid w:val="00E665D6"/>
    <w:rsid w:val="00E935B5"/>
    <w:rsid w:val="00E95058"/>
    <w:rsid w:val="00EA3F82"/>
    <w:rsid w:val="00EB072B"/>
    <w:rsid w:val="00EC4B72"/>
    <w:rsid w:val="00ED2E96"/>
    <w:rsid w:val="00ED3D42"/>
    <w:rsid w:val="00ED535F"/>
    <w:rsid w:val="00EE03EF"/>
    <w:rsid w:val="00EE436E"/>
    <w:rsid w:val="00EE4E05"/>
    <w:rsid w:val="00EE6A12"/>
    <w:rsid w:val="00EE6D26"/>
    <w:rsid w:val="00EE6FE0"/>
    <w:rsid w:val="00EF495A"/>
    <w:rsid w:val="00EF5B8D"/>
    <w:rsid w:val="00F014F8"/>
    <w:rsid w:val="00F21110"/>
    <w:rsid w:val="00F23AA0"/>
    <w:rsid w:val="00F363F0"/>
    <w:rsid w:val="00F37D9C"/>
    <w:rsid w:val="00F42201"/>
    <w:rsid w:val="00F45A90"/>
    <w:rsid w:val="00F475CE"/>
    <w:rsid w:val="00F55F90"/>
    <w:rsid w:val="00F60769"/>
    <w:rsid w:val="00F734F1"/>
    <w:rsid w:val="00F7493A"/>
    <w:rsid w:val="00F8700D"/>
    <w:rsid w:val="00F87137"/>
    <w:rsid w:val="00F908EA"/>
    <w:rsid w:val="00FA05C7"/>
    <w:rsid w:val="00FA1E59"/>
    <w:rsid w:val="00FD393D"/>
    <w:rsid w:val="00FD4B30"/>
    <w:rsid w:val="00FF4718"/>
    <w:rsid w:val="00FF7F6B"/>
    <w:rsid w:val="01551E15"/>
    <w:rsid w:val="053E746C"/>
    <w:rsid w:val="15897ECC"/>
    <w:rsid w:val="282139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31"/>
    <w:semiHidden/>
    <w:unhideWhenUsed/>
    <w:qFormat/>
    <w:uiPriority w:val="99"/>
    <w:rPr>
      <w:sz w:val="18"/>
      <w:szCs w:val="18"/>
    </w:rPr>
  </w:style>
  <w:style w:type="paragraph" w:styleId="3">
    <w:name w:val="footer"/>
    <w:basedOn w:val="1"/>
    <w:link w:val="11"/>
    <w:autoRedefine/>
    <w:unhideWhenUsed/>
    <w:qFormat/>
    <w:uiPriority w:val="0"/>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rPr>
      <w:rFonts w:ascii="Verdana" w:hAnsi="Verdana"/>
      <w:kern w:val="0"/>
      <w:sz w:val="24"/>
      <w:szCs w:val="20"/>
      <w:lang w:eastAsia="en-US"/>
    </w:rPr>
  </w:style>
  <w:style w:type="character" w:styleId="8">
    <w:name w:val="FollowedHyperlink"/>
    <w:autoRedefine/>
    <w:unhideWhenUsed/>
    <w:qFormat/>
    <w:uiPriority w:val="99"/>
    <w:rPr>
      <w:color w:val="800080"/>
      <w:u w:val="single"/>
    </w:rPr>
  </w:style>
  <w:style w:type="character" w:styleId="9">
    <w:name w:val="Hyperlink"/>
    <w:autoRedefine/>
    <w:unhideWhenUsed/>
    <w:qFormat/>
    <w:uiPriority w:val="99"/>
    <w:rPr>
      <w:color w:val="0000FF"/>
      <w:u w:val="single"/>
    </w:rPr>
  </w:style>
  <w:style w:type="character" w:customStyle="1" w:styleId="10">
    <w:name w:val="页眉 Char"/>
    <w:link w:val="4"/>
    <w:qFormat/>
    <w:uiPriority w:val="99"/>
    <w:rPr>
      <w:rFonts w:ascii="Times New Roman" w:hAnsi="Times New Roman" w:eastAsia="仿宋_GB2312"/>
      <w:kern w:val="2"/>
      <w:sz w:val="18"/>
      <w:szCs w:val="18"/>
    </w:rPr>
  </w:style>
  <w:style w:type="character" w:customStyle="1" w:styleId="11">
    <w:name w:val="页脚 Char"/>
    <w:link w:val="3"/>
    <w:qFormat/>
    <w:uiPriority w:val="0"/>
    <w:rPr>
      <w:rFonts w:ascii="Times New Roman" w:hAnsi="Times New Roman" w:eastAsia="仿宋_GB2312"/>
      <w:kern w:val="2"/>
      <w:sz w:val="18"/>
      <w:szCs w:val="18"/>
    </w:rPr>
  </w:style>
  <w:style w:type="paragraph" w:customStyle="1" w:styleId="12">
    <w:name w:val="xl74"/>
    <w:basedOn w:val="1"/>
    <w:autoRedefine/>
    <w:qFormat/>
    <w:uiPriority w:val="0"/>
    <w:pPr>
      <w:widowControl/>
      <w:spacing w:before="100" w:beforeAutospacing="1" w:after="100" w:afterAutospacing="1"/>
      <w:jc w:val="center"/>
    </w:pPr>
    <w:rPr>
      <w:rFonts w:ascii="宋体" w:hAnsi="宋体" w:eastAsia="宋体" w:cs="宋体"/>
      <w:kern w:val="0"/>
      <w:sz w:val="24"/>
    </w:rPr>
  </w:style>
  <w:style w:type="paragraph" w:customStyle="1" w:styleId="13">
    <w:name w:val="Char Char Char Char"/>
    <w:basedOn w:val="1"/>
    <w:qFormat/>
    <w:uiPriority w:val="0"/>
    <w:pPr>
      <w:widowControl/>
      <w:spacing w:after="160" w:line="240" w:lineRule="exact"/>
      <w:jc w:val="left"/>
    </w:pPr>
    <w:rPr>
      <w:rFonts w:ascii="Verdana" w:hAnsi="Verdana"/>
      <w:kern w:val="0"/>
      <w:sz w:val="24"/>
      <w:szCs w:val="20"/>
      <w:lang w:eastAsia="en-US"/>
    </w:rPr>
  </w:style>
  <w:style w:type="paragraph" w:customStyle="1" w:styleId="1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5">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6">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color w:val="000000"/>
      <w:kern w:val="0"/>
      <w:sz w:val="24"/>
    </w:rPr>
  </w:style>
  <w:style w:type="paragraph" w:customStyle="1" w:styleId="17">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styleId="18">
    <w:name w:val="List Paragraph"/>
    <w:basedOn w:val="1"/>
    <w:autoRedefine/>
    <w:qFormat/>
    <w:uiPriority w:val="34"/>
    <w:pPr>
      <w:ind w:firstLine="420" w:firstLineChars="200"/>
    </w:pPr>
  </w:style>
  <w:style w:type="paragraph" w:customStyle="1" w:styleId="19">
    <w:name w:val="xl6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0">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21">
    <w:name w:val="列出段落1"/>
    <w:basedOn w:val="1"/>
    <w:qFormat/>
    <w:uiPriority w:val="0"/>
    <w:pPr>
      <w:ind w:firstLine="420" w:firstLineChars="200"/>
    </w:pPr>
    <w:rPr>
      <w:rFonts w:eastAsia="宋体"/>
    </w:rPr>
  </w:style>
  <w:style w:type="paragraph" w:customStyle="1" w:styleId="22">
    <w:name w:val="xl68"/>
    <w:basedOn w:val="1"/>
    <w:qFormat/>
    <w:uiPriority w:val="0"/>
    <w:pPr>
      <w:widowControl/>
      <w:spacing w:before="100" w:beforeAutospacing="1" w:after="100" w:afterAutospacing="1"/>
      <w:jc w:val="left"/>
      <w:textAlignment w:val="bottom"/>
    </w:pPr>
    <w:rPr>
      <w:rFonts w:ascii="宋体" w:hAnsi="宋体" w:eastAsia="宋体" w:cs="宋体"/>
      <w:kern w:val="0"/>
      <w:sz w:val="24"/>
    </w:rPr>
  </w:style>
  <w:style w:type="paragraph" w:customStyle="1" w:styleId="23">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24">
    <w:name w:val="xl7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5">
    <w:name w:val="xl78"/>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2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黑体" w:hAnsi="黑体" w:eastAsia="黑体" w:cs="宋体"/>
      <w:color w:val="000000"/>
      <w:kern w:val="0"/>
      <w:sz w:val="24"/>
    </w:rPr>
  </w:style>
  <w:style w:type="paragraph" w:customStyle="1" w:styleId="27">
    <w:name w:val="font5"/>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8">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kern w:val="0"/>
      <w:sz w:val="24"/>
    </w:rPr>
  </w:style>
  <w:style w:type="paragraph" w:customStyle="1" w:styleId="29">
    <w:name w:val="xl7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30">
    <w:name w:val="xl72"/>
    <w:basedOn w:val="1"/>
    <w:qFormat/>
    <w:uiPriority w:val="0"/>
    <w:pPr>
      <w:widowControl/>
      <w:spacing w:before="100" w:beforeAutospacing="1" w:after="100" w:afterAutospacing="1"/>
      <w:jc w:val="center"/>
    </w:pPr>
    <w:rPr>
      <w:rFonts w:ascii="宋体" w:hAnsi="宋体" w:eastAsia="宋体" w:cs="宋体"/>
      <w:kern w:val="0"/>
      <w:sz w:val="24"/>
    </w:rPr>
  </w:style>
  <w:style w:type="character" w:customStyle="1" w:styleId="31">
    <w:name w:val="批注框文本 Char"/>
    <w:link w:val="2"/>
    <w:semiHidden/>
    <w:uiPriority w:val="99"/>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C0AAC-3385-4CC0-B78F-093F82F421F5}">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106</Pages>
  <Words>93258</Words>
  <Characters>93949</Characters>
  <Lines>761</Lines>
  <Paragraphs>214</Paragraphs>
  <TotalTime>6</TotalTime>
  <ScaleCrop>false</ScaleCrop>
  <LinksUpToDate>false</LinksUpToDate>
  <CharactersWithSpaces>94013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2020-11-23T08:00:00Z</dcterms:created>
  <dc:creator>印发</dc:creator>
  <cp:lastModifiedBy>bo y</cp:lastModifiedBy>
  <dcterms:modified xsi:type="dcterms:W3CDTF">2024-01-02T08:18:41Z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7E682212013448399D46D79C177FAA30</vt:lpwstr>
  </property>
</Properties>
</file>