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ind w:left="0" w:firstLine="0"/>
        <w:jc w:val="left"/>
        <w:rPr>
          <w:rFonts w:hint="eastAsia" w:ascii="黑体" w:hAnsi="黑体" w:eastAsia="黑体" w:cs="黑体"/>
          <w:b w:val="0"/>
          <w:i w:val="0"/>
          <w:caps w:val="0"/>
          <w:smallCaps w:val="0"/>
          <w:strike w:val="0"/>
          <w:dstrike w:val="0"/>
          <w:snapToGrid/>
          <w:vanish w:val="0"/>
          <w:color w:val="auto"/>
          <w:spacing w:val="0"/>
          <w:w w:val="100"/>
          <w:kern w:val="0"/>
          <w:position w:val="0"/>
          <w:sz w:val="32"/>
          <w:szCs w:val="32"/>
          <w:u w:val="none" w:color="auto"/>
          <w:shd w:val="clear" w:color="auto" w:fill="auto"/>
          <w:vertAlign w:val="baseline"/>
          <w:lang w:val="en-US" w:eastAsia="zh-CN"/>
        </w:rPr>
      </w:pPr>
      <w:r>
        <w:rPr>
          <w:rFonts w:hint="eastAsia" w:ascii="黑体" w:hAnsi="黑体" w:eastAsia="黑体" w:cs="黑体"/>
          <w:b w:val="0"/>
          <w:i w:val="0"/>
          <w:caps w:val="0"/>
          <w:smallCaps w:val="0"/>
          <w:strike w:val="0"/>
          <w:dstrike w:val="0"/>
          <w:snapToGrid/>
          <w:vanish w:val="0"/>
          <w:color w:val="auto"/>
          <w:spacing w:val="0"/>
          <w:w w:val="100"/>
          <w:kern w:val="0"/>
          <w:position w:val="0"/>
          <w:sz w:val="32"/>
          <w:szCs w:val="32"/>
          <w:u w:val="none" w:color="auto"/>
          <w:shd w:val="clear" w:color="auto" w:fill="auto"/>
          <w:vertAlign w:val="baseline"/>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Times New Roman" w:eastAsia="宋体" w:cs="宋体"/>
          <w:b/>
          <w:bCs w:val="0"/>
          <w:color w:val="auto"/>
          <w:kern w:val="2"/>
          <w:sz w:val="44"/>
          <w:szCs w:val="44"/>
          <w:lang w:eastAsia="zh-CN"/>
        </w:rPr>
      </w:pPr>
    </w:p>
    <w:p>
      <w:pPr>
        <w:adjustRightInd w:val="0"/>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公平竞争审查初步结论</w:t>
      </w:r>
    </w:p>
    <w:p>
      <w:pPr>
        <w:adjustRightInd w:val="0"/>
        <w:snapToGrid w:val="0"/>
        <w:rPr>
          <w:rFonts w:hint="eastAsia" w:ascii="仿宋" w:hAnsi="仿宋" w:eastAsia="仿宋" w:cs="仿宋"/>
          <w:sz w:val="32"/>
          <w:szCs w:val="32"/>
        </w:rPr>
      </w:pPr>
      <w:r>
        <w:rPr>
          <w:rFonts w:hint="eastAsia" w:ascii="等线" w:hAnsi="等线" w:eastAsia="方正仿宋简体" w:cs="Times New Roman"/>
          <w:sz w:val="32"/>
          <w:szCs w:val="32"/>
        </w:rPr>
        <w:t xml:space="preserve">                                   </w:t>
      </w:r>
      <w:r>
        <w:rPr>
          <w:rFonts w:ascii="等线" w:hAnsi="等线" w:eastAsia="方正仿宋简体" w:cs="Times New Roman"/>
          <w:sz w:val="32"/>
          <w:szCs w:val="32"/>
        </w:rPr>
        <w:t xml:space="preserve"> </w:t>
      </w: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日</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6"/>
        <w:gridCol w:w="1317"/>
        <w:gridCol w:w="1522"/>
        <w:gridCol w:w="79"/>
        <w:gridCol w:w="1394"/>
        <w:gridCol w:w="306"/>
        <w:gridCol w:w="16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政策措施</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_GB2312" w:eastAsia="仿宋_GB2312" w:cs="仿宋_GB2312"/>
                <w:snapToGrid w:val="0"/>
                <w:kern w:val="0"/>
                <w:sz w:val="32"/>
                <w:szCs w:val="32"/>
              </w:rPr>
              <w:t>广东省省级以上公益林结合森林质量分类差异化补偿方案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涉及行业</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林业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性质</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□行政法规草案     □地方性法规草案      □规章草案  □规范性文件  ☑其他政策措施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起草</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名称</w:t>
            </w:r>
          </w:p>
        </w:tc>
        <w:tc>
          <w:tcPr>
            <w:tcW w:w="610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center"/>
              <w:rPr>
                <w:rFonts w:hint="eastAsia" w:ascii="仿宋" w:hAnsi="仿宋" w:eastAsia="仿宋" w:cs="仿宋"/>
                <w:i w:val="0"/>
                <w:iCs w:val="0"/>
                <w:color w:val="000000"/>
                <w:sz w:val="32"/>
                <w:szCs w:val="32"/>
                <w:u w:val="none"/>
              </w:rPr>
            </w:pPr>
            <w:r>
              <w:rPr>
                <w:rFonts w:hint="eastAsia" w:ascii="仿宋_GB2312" w:eastAsia="仿宋_GB2312" w:cs="仿宋_GB2312"/>
                <w:kern w:val="2"/>
                <w:sz w:val="32"/>
                <w:szCs w:val="32"/>
              </w:rPr>
              <w:t>广东省林业局</w:t>
            </w:r>
            <w:r>
              <w:rPr>
                <w:rFonts w:hint="eastAsia" w:ascii="仿宋_GB2312" w:eastAsia="仿宋_GB2312" w:cs="仿宋_GB2312"/>
                <w:kern w:val="2"/>
                <w:sz w:val="32"/>
                <w:szCs w:val="32"/>
                <w:lang w:val="en-US" w:eastAsia="zh-CN"/>
              </w:rPr>
              <w:t>公益林管理处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联系人</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center"/>
              <w:rPr>
                <w:rFonts w:hint="eastAsia" w:ascii="仿宋" w:hAnsi="仿宋" w:eastAsia="仿宋" w:cs="仿宋"/>
                <w:i w:val="0"/>
                <w:iCs w:val="0"/>
                <w:color w:val="000000"/>
                <w:sz w:val="32"/>
                <w:szCs w:val="32"/>
                <w:u w:val="none"/>
              </w:rPr>
            </w:pPr>
            <w:r>
              <w:rPr>
                <w:rFonts w:hint="eastAsia" w:ascii="仿宋_GB2312" w:eastAsia="仿宋_GB2312" w:cs="仿宋_GB2312"/>
                <w:spacing w:val="-9"/>
                <w:kern w:val="2"/>
                <w:sz w:val="32"/>
                <w:szCs w:val="32"/>
                <w:lang w:val="en-US" w:eastAsia="zh-CN"/>
              </w:rPr>
              <w:t>王旭日</w:t>
            </w:r>
          </w:p>
        </w:tc>
        <w:tc>
          <w:tcPr>
            <w:tcW w:w="14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center"/>
              <w:rPr>
                <w:rFonts w:hint="eastAsia" w:ascii="仿宋" w:hAnsi="仿宋" w:eastAsia="仿宋" w:cs="仿宋"/>
                <w:i w:val="0"/>
                <w:iCs w:val="0"/>
                <w:color w:val="000000"/>
                <w:sz w:val="32"/>
                <w:szCs w:val="32"/>
                <w:u w:val="none"/>
              </w:rPr>
            </w:pPr>
            <w:r>
              <w:rPr>
                <w:rFonts w:hint="eastAsia" w:ascii="仿宋_GB2312" w:eastAsia="仿宋_GB2312" w:cs="仿宋_GB2312"/>
                <w:kern w:val="2"/>
                <w:sz w:val="32"/>
                <w:szCs w:val="32"/>
              </w:rPr>
              <w:t>电话</w:t>
            </w:r>
          </w:p>
        </w:tc>
        <w:tc>
          <w:tcPr>
            <w:tcW w:w="310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center"/>
              <w:rPr>
                <w:rFonts w:hint="eastAsia" w:ascii="仿宋" w:hAnsi="仿宋" w:eastAsia="仿宋" w:cs="仿宋"/>
                <w:i w:val="0"/>
                <w:iCs w:val="0"/>
                <w:color w:val="000000"/>
                <w:sz w:val="32"/>
                <w:szCs w:val="32"/>
                <w:u w:val="none"/>
              </w:rPr>
            </w:pPr>
            <w:r>
              <w:rPr>
                <w:rFonts w:ascii="宋体" w:hAnsi="宋体" w:eastAsia="等线" w:cs="宋体"/>
                <w:kern w:val="2"/>
                <w:sz w:val="32"/>
                <w:szCs w:val="32"/>
              </w:rPr>
              <w:t>020—</w:t>
            </w:r>
            <w:r>
              <w:rPr>
                <w:rFonts w:hint="eastAsia" w:ascii="宋体" w:hAnsi="宋体" w:eastAsia="等线" w:cs="宋体"/>
                <w:kern w:val="2"/>
                <w:sz w:val="32"/>
                <w:szCs w:val="32"/>
              </w:rPr>
              <w:t>81</w:t>
            </w:r>
            <w:r>
              <w:rPr>
                <w:rFonts w:hint="eastAsia" w:ascii="宋体" w:hAnsi="宋体" w:cs="宋体"/>
                <w:kern w:val="2"/>
                <w:sz w:val="32"/>
                <w:szCs w:val="32"/>
                <w:lang w:val="en-US" w:eastAsia="zh-CN"/>
              </w:rPr>
              <w:t>953355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审查</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名称</w:t>
            </w:r>
          </w:p>
        </w:tc>
        <w:tc>
          <w:tcPr>
            <w:tcW w:w="330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广东省林业局办公室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联系人</w:t>
            </w:r>
          </w:p>
        </w:tc>
        <w:tc>
          <w:tcPr>
            <w:tcW w:w="8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代欣</w:t>
            </w:r>
          </w:p>
        </w:tc>
        <w:tc>
          <w:tcPr>
            <w:tcW w:w="9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电话</w:t>
            </w:r>
          </w:p>
        </w:tc>
        <w:tc>
          <w:tcPr>
            <w:tcW w:w="151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020—81946265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征求意见</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 xml:space="preserve">□征求利害关系人意见 ☑向社会公开征求意见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具体情况（时间、对象、意见反馈和采纳情况）：</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（征求意见结束后填写）</w:t>
            </w:r>
            <w:r>
              <w:rPr>
                <w:rFonts w:hint="eastAsia" w:ascii="仿宋" w:hAnsi="仿宋" w:eastAsia="仿宋" w:cs="仿宋"/>
                <w:i w:val="0"/>
                <w:iCs w:val="0"/>
                <w:color w:val="000000"/>
                <w:kern w:val="0"/>
                <w:sz w:val="32"/>
                <w:szCs w:val="32"/>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 xml:space="preserve">（可附相关报告）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咨询及第三方评估情况</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（可附相关报告）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竞争影响评估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一、是否违反市场准入与退出标准</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1.设置不合理和歧视性的准入和退出条件</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2.未经公平竞争授予经营者特许经营权</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3.限定经营、购买、使用特定经营者提供的商品和服务</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4.设置没有法律、行政法规或者国务院规定依据的审批或者具有行政审批性质的事前备案程序</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5.对市场准入负面清单以外的行业、领域、业务设置审批程序</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二、是否违反商品要素自由流通标准</w:t>
            </w:r>
          </w:p>
        </w:tc>
        <w:tc>
          <w:tcPr>
            <w:tcW w:w="6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1.对外地和进口商品、服务实行歧视性价格和歧视性补贴政策</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2.限制外地和进口商品、服务进入本地市场或者阻碍本地商品运出、服务输出</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3.排斥或限制外地经营者参加本地招标投标活动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4.排斥限制或强制外地经营者在本地投资或设立分支机构</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5.对外地经营者在本地投资或设立的分支机构实行歧视性待遇</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三、是否违反影响生产经营成本标准</w:t>
            </w:r>
          </w:p>
        </w:tc>
        <w:tc>
          <w:tcPr>
            <w:tcW w:w="6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1.违反给予特定经营者优惠政策</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2.将财政支出安排与企业缴纳的税收或非税收入挂钩</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3.违法违规减免或者缓征特定经营者应当缴纳的社会保险费用</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4.在法律规定之外要求经营者提供或扣留经营者各类保证金</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四、是否违反影响生产经营行为标准</w:t>
            </w:r>
          </w:p>
        </w:tc>
        <w:tc>
          <w:tcPr>
            <w:tcW w:w="6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top"/>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1.强制经营者从事《反垄断法》规定的垄断行为</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2.违法披露或者要求经营者披露生产经营敏感信息</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3.超越定价权限进行政府定价</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4.违法干预实行市场调节价的商品和服务的价格水平</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五、是否违反兜底条款</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1.没有法律法规依据减损市场主体合法权益或者增加其义务</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2.违反《反垄断法》制定含有排除限制竞争内容的政策措施</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审查</w:t>
            </w:r>
          </w:p>
        </w:tc>
        <w:tc>
          <w:tcPr>
            <w:tcW w:w="4021"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经审查，不具有排除、限制竞争效果。</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（可附相关报告）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适用例外规定</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选择“是”时详细说明理由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其他需要说明的情况</w:t>
            </w:r>
          </w:p>
        </w:tc>
        <w:tc>
          <w:tcPr>
            <w:tcW w:w="4021" w:type="pct"/>
            <w:gridSpan w:val="7"/>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c>
          <w:tcPr>
            <w:tcW w:w="4021" w:type="pct"/>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审查机构主要负责人意见</w:t>
            </w:r>
          </w:p>
        </w:tc>
        <w:tc>
          <w:tcPr>
            <w:tcW w:w="402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仿宋" w:hAnsi="仿宋" w:eastAsia="仿宋" w:cs="仿宋"/>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2240" w:firstLineChars="70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签字：          盖章：</w:t>
            </w:r>
          </w:p>
        </w:tc>
      </w:tr>
    </w:tbl>
    <w:p/>
    <w:sectPr>
      <w:footerReference r:id="rId4" w:type="first"/>
      <w:footerReference r:id="rId3" w:type="default"/>
      <w:pgSz w:w="11906" w:h="16838"/>
      <w:pgMar w:top="2098" w:right="1361" w:bottom="1587" w:left="1531" w:header="851" w:footer="1304"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汉仪中圆B5"/>
    <w:panose1 w:val="02010600030101010101"/>
    <w:charset w:val="00"/>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rFonts w:hint="eastAsia" w:ascii="宋体" w:hAnsi="宋体" w:eastAsia="宋体" w:cs="宋体"/>
        <w:sz w:val="28"/>
        <w:lang w:eastAsia="zh-CN"/>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C61935"/>
    <w:rsid w:val="7FFEE847"/>
    <w:rsid w:val="BBC61935"/>
    <w:rsid w:val="FBE9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z w:val="30"/>
      <w:szCs w:val="20"/>
    </w:rPr>
  </w:style>
  <w:style w:type="paragraph" w:styleId="3">
    <w:name w:val="toc 5"/>
    <w:basedOn w:val="1"/>
    <w:next w:val="1"/>
    <w:qFormat/>
    <w:uiPriority w:val="0"/>
    <w:pPr>
      <w:ind w:left="168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1"/>
    <w:basedOn w:val="1"/>
    <w:qFormat/>
    <w:uiPriority w:val="0"/>
    <w:pPr>
      <w:spacing w:line="500" w:lineRule="exact"/>
      <w:ind w:right="26" w:rightChars="8"/>
    </w:pPr>
    <w:rPr>
      <w:rFonts w:ascii="楷体_GB2312" w:eastAsia="楷体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2023-09-05T07:07:00Z</dcterms:created>
  <dc:creator>曾俊杰</dc:creator>
  <cp:lastModifiedBy>代欣</cp:lastModifiedBy>
  <dcterms:modified xsi:type="dcterms:W3CDTF">2023-09-06T16:07:41Z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50CDA0B7D75315B93382F5640C89B519</vt:lpwstr>
  </property>
</Properties>
</file>