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000000" w:themeColor="text1"/>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w:t>
      </w:r>
      <w:bookmarkStart w:id="0" w:name="_GoBack"/>
      <w:bookmarkEnd w:id="0"/>
    </w:p>
    <w:p>
      <w:pPr>
        <w:spacing w:line="240" w:lineRule="auto"/>
        <w:jc w:val="center"/>
        <w:rPr>
          <w:rFonts w:ascii="Times New Roman" w:hAnsi="Times New Roman" w:eastAsia="方正小标宋简体" w:cs="Times New Roman"/>
          <w:color w:val="000000" w:themeColor="text1"/>
          <w:sz w:val="52"/>
          <w:szCs w:val="52"/>
          <w:highlight w:val="none"/>
          <w14:textFill>
            <w14:solidFill>
              <w14:schemeClr w14:val="tx1"/>
            </w14:solidFill>
          </w14:textFill>
        </w:rPr>
      </w:pPr>
    </w:p>
    <w:p>
      <w:pPr>
        <w:spacing w:line="240" w:lineRule="auto"/>
        <w:jc w:val="center"/>
        <w:rPr>
          <w:rFonts w:ascii="Times New Roman" w:hAnsi="Times New Roman" w:eastAsia="方正小标宋简体" w:cs="Times New Roman"/>
          <w:color w:val="000000" w:themeColor="text1"/>
          <w:sz w:val="52"/>
          <w:szCs w:val="52"/>
          <w:highlight w:val="none"/>
          <w14:textFill>
            <w14:solidFill>
              <w14:schemeClr w14:val="tx1"/>
            </w14:solidFill>
          </w14:textFill>
        </w:rPr>
      </w:pPr>
    </w:p>
    <w:p>
      <w:pPr>
        <w:spacing w:line="240" w:lineRule="auto"/>
        <w:jc w:val="center"/>
        <w:outlineLvl w:val="0"/>
        <w:rPr>
          <w:rFonts w:ascii="Times New Roman" w:hAnsi="Times New Roman" w:eastAsia="方正小标宋简体" w:cs="Times New Roman"/>
          <w:color w:val="000000" w:themeColor="text1"/>
          <w:sz w:val="52"/>
          <w:szCs w:val="52"/>
          <w:highlight w:val="none"/>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广东省</w:t>
      </w:r>
      <w:r>
        <w:rPr>
          <w:rFonts w:hint="default" w:ascii="Times New Roman" w:hAnsi="Times New Roman" w:eastAsia="方正小标宋简体" w:cs="Times New Roman"/>
          <w:color w:val="000000" w:themeColor="text1"/>
          <w:sz w:val="52"/>
          <w:szCs w:val="52"/>
          <w:highlight w:val="none"/>
          <w:lang w:eastAsia="zh-CN"/>
          <w14:textFill>
            <w14:solidFill>
              <w14:schemeClr w14:val="tx1"/>
            </w14:solidFill>
          </w14:textFill>
        </w:rPr>
        <w:t>历史文化保护传承</w:t>
      </w: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先进集体</w:t>
      </w:r>
    </w:p>
    <w:p>
      <w:pPr>
        <w:spacing w:line="240" w:lineRule="auto"/>
        <w:jc w:val="center"/>
        <w:outlineLvl w:val="0"/>
        <w:rPr>
          <w:rFonts w:ascii="Times New Roman" w:hAnsi="Times New Roman" w:eastAsia="方正小标宋简体" w:cs="Times New Roman"/>
          <w:color w:val="000000" w:themeColor="text1"/>
          <w:sz w:val="52"/>
          <w:szCs w:val="52"/>
          <w:highlight w:val="none"/>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推荐审批表</w:t>
      </w: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1280" w:firstLineChars="400"/>
        <w:rPr>
          <w:rFonts w:ascii="Times New Roman" w:hAnsi="Times New Roman" w:eastAsia="宋体" w:cs="Times New Roman"/>
          <w:color w:val="000000" w:themeColor="text1"/>
          <w:sz w:val="32"/>
          <w:szCs w:val="32"/>
          <w:highlight w:val="none"/>
          <w:u w:val="singl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先进集体名称：</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开平市赤坎镇人民政府</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p>
    <w:p>
      <w:pPr>
        <w:ind w:firstLine="1280" w:firstLineChars="400"/>
        <w:rPr>
          <w:rFonts w:ascii="Times New Roman" w:hAnsi="Times New Roman" w:eastAsia="宋体" w:cs="Times New Roman"/>
          <w:color w:val="000000" w:themeColor="text1"/>
          <w:sz w:val="32"/>
          <w:szCs w:val="32"/>
          <w:highlight w:val="none"/>
          <w:u w:val="singl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推荐评选单位：</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开平市人民政府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p>
    <w:p>
      <w:pPr>
        <w:ind w:firstLine="1920" w:firstLineChars="600"/>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1920" w:firstLineChars="600"/>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2240" w:firstLineChars="700"/>
        <w:jc w:val="both"/>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填报时间：  </w:t>
      </w:r>
      <w:r>
        <w:rPr>
          <w:rFonts w:hint="eastAsia" w:ascii="Times New Roman" w:hAnsi="Times New Roman" w:eastAsia="宋体"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 年 </w:t>
      </w:r>
      <w:r>
        <w:rPr>
          <w:rFonts w:hint="eastAsia" w:ascii="Times New Roman" w:hAnsi="Times New Roman" w:eastAsia="宋体"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 月 </w:t>
      </w:r>
      <w:r>
        <w:rPr>
          <w:rFonts w:hint="eastAsia" w:ascii="Times New Roman" w:hAnsi="Times New Roman" w:eastAsia="宋体"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 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br w:type="page"/>
      </w:r>
    </w:p>
    <w:p>
      <w:pPr>
        <w:jc w:val="center"/>
        <w:rPr>
          <w:rFonts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填表说明</w:t>
      </w:r>
    </w:p>
    <w:p>
      <w:pPr>
        <w:jc w:val="center"/>
        <w:rPr>
          <w:rFonts w:ascii="Times New Roman" w:hAnsi="Times New Roman" w:eastAsia="宋体" w:cs="Times New Roman"/>
          <w:b/>
          <w:bCs/>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一、本表是全省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历史文化保护传承</w:t>
      </w:r>
      <w:r>
        <w:rPr>
          <w:rFonts w:hint="default" w:ascii="Times New Roman" w:hAnsi="Times New Roman" w:eastAsia="仿宋" w:cs="Times New Roman"/>
          <w:color w:val="000000" w:themeColor="text1"/>
          <w:sz w:val="32"/>
          <w:szCs w:val="32"/>
          <w:highlight w:val="none"/>
          <w14:textFill>
            <w14:solidFill>
              <w14:schemeClr w14:val="tx1"/>
            </w14:solidFill>
          </w14:textFill>
        </w:rPr>
        <w:t>先进集体推荐评选用表；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二、本表打印填写，使用仿宋三号字，数字统一使用阿拉伯数字；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三、集体名称、集体负责人姓名等必须填写准确，没有行政级别的集体在</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集体级别</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栏填写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无</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集体所属单位</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栏须填写全称，推荐评选单位是指</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地级以上市历史文化</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保护传承主管部门、省有关单位</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等</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四、集体性质根据被推荐集体性质选填国有企业、集体企业、国有控股企业、民营企业、合资企业、其他企业、机关、参公单位、事业单位、社会团体或其他；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五、所属单位隶属关系根据所属单位的管辖隶属关系，可选择填写中央，省，市、地区，县，街道、镇、乡，居民、村民委员会，部队或其他。例如：被推荐人所在单位为省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住房城乡建设</w:t>
      </w:r>
      <w:r>
        <w:rPr>
          <w:rFonts w:hint="default" w:ascii="Times New Roman" w:hAnsi="Times New Roman" w:eastAsia="仿宋" w:cs="Times New Roman"/>
          <w:color w:val="000000" w:themeColor="text1"/>
          <w:sz w:val="32"/>
          <w:szCs w:val="32"/>
          <w:highlight w:val="none"/>
          <w14:textFill>
            <w14:solidFill>
              <w14:schemeClr w14:val="tx1"/>
            </w14:solidFill>
          </w14:textFill>
        </w:rPr>
        <w:t>厅，则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所在单位隶属关系</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栏填写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六、临时集体标识根据集体是否是临时性集体，可选填</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是</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或</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否</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七、主要先进事迹要求</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言简意赅、</w:t>
      </w:r>
      <w:r>
        <w:rPr>
          <w:rFonts w:hint="default" w:ascii="Times New Roman" w:hAnsi="Times New Roman" w:eastAsia="仿宋" w:cs="Times New Roman"/>
          <w:color w:val="000000" w:themeColor="text1"/>
          <w:sz w:val="32"/>
          <w:szCs w:val="32"/>
          <w:highlight w:val="none"/>
          <w14:textFill>
            <w14:solidFill>
              <w14:schemeClr w14:val="tx1"/>
            </w14:solidFill>
          </w14:textFill>
        </w:rPr>
        <w:t>重点突出，字数</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 w:cs="Times New Roman"/>
          <w:color w:val="000000" w:themeColor="text1"/>
          <w:sz w:val="32"/>
          <w:szCs w:val="32"/>
          <w:highlight w:val="none"/>
          <w14:textFill>
            <w14:solidFill>
              <w14:schemeClr w14:val="tx1"/>
            </w14:solidFill>
          </w14:textFill>
        </w:rPr>
        <w:t>00宇左右，可另行附页；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八、本表上报一式</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份，规格为A4纸。</w:t>
      </w:r>
    </w:p>
    <w:p>
      <w:pPr>
        <w:pStyle w:val="15"/>
        <w:ind w:left="1280" w:leftChars="200" w:hanging="640" w:hangingChars="200"/>
        <w:rPr>
          <w:rFonts w:hint="eastAsia" w:ascii="仿宋_GB2312" w:hAnsi="仿宋_GB2312" w:eastAsia="仿宋_GB2312" w:cs="仿宋_GB2312"/>
          <w:i w:val="0"/>
          <w:caps w:val="0"/>
          <w:color w:val="000000" w:themeColor="text1"/>
          <w:spacing w:val="0"/>
          <w:kern w:val="0"/>
          <w:sz w:val="32"/>
          <w:szCs w:val="32"/>
          <w:highlight w:val="none"/>
          <w:u w:val="none"/>
          <w:lang w:val="en-US" w:eastAsia="zh-CN" w:bidi="ar-SA"/>
          <w14:textFill>
            <w14:solidFill>
              <w14:schemeClr w14:val="tx1"/>
            </w14:solidFill>
          </w14:textFill>
        </w:rPr>
      </w:pPr>
    </w:p>
    <w:p>
      <w:pPr>
        <w:pStyle w:val="15"/>
        <w:ind w:left="1280" w:leftChars="200" w:hanging="640" w:hangingChars="200"/>
        <w:rPr>
          <w:rFonts w:hint="eastAsia" w:ascii="仿宋_GB2312" w:hAnsi="仿宋_GB2312" w:eastAsia="仿宋_GB2312" w:cs="仿宋_GB2312"/>
          <w:i w:val="0"/>
          <w:caps w:val="0"/>
          <w:color w:val="000000" w:themeColor="text1"/>
          <w:spacing w:val="0"/>
          <w:kern w:val="0"/>
          <w:sz w:val="32"/>
          <w:szCs w:val="32"/>
          <w:highlight w:val="none"/>
          <w:u w:val="none"/>
          <w:lang w:val="en-US" w:eastAsia="zh-CN" w:bidi="ar-SA"/>
          <w14:textFill>
            <w14:solidFill>
              <w14:schemeClr w14:val="tx1"/>
            </w14:solidFill>
          </w14:textFill>
        </w:rPr>
      </w:pPr>
    </w:p>
    <w:tbl>
      <w:tblPr>
        <w:tblStyle w:val="1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050"/>
        <w:gridCol w:w="22"/>
        <w:gridCol w:w="1942"/>
        <w:gridCol w:w="158"/>
        <w:gridCol w:w="1"/>
        <w:gridCol w:w="1288"/>
        <w:gridCol w:w="729"/>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集体名称</w:t>
            </w:r>
          </w:p>
        </w:tc>
        <w:tc>
          <w:tcPr>
            <w:tcW w:w="6543" w:type="dxa"/>
            <w:gridSpan w:val="7"/>
            <w:vAlign w:val="center"/>
          </w:tcPr>
          <w:p>
            <w:pPr>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开平市赤坎镇人民政府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集体性质</w:t>
            </w:r>
          </w:p>
        </w:tc>
        <w:tc>
          <w:tcPr>
            <w:tcW w:w="1964" w:type="dxa"/>
            <w:gridSpan w:val="2"/>
            <w:vAlign w:val="center"/>
          </w:tcPr>
          <w:p>
            <w:pPr>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机关</w:t>
            </w:r>
          </w:p>
        </w:tc>
        <w:tc>
          <w:tcPr>
            <w:tcW w:w="2176" w:type="dxa"/>
            <w:gridSpan w:val="4"/>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集体级别</w:t>
            </w:r>
          </w:p>
        </w:tc>
        <w:tc>
          <w:tcPr>
            <w:tcW w:w="2403" w:type="dxa"/>
            <w:vAlign w:val="center"/>
          </w:tcPr>
          <w:p>
            <w:pPr>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集体人数</w:t>
            </w:r>
          </w:p>
        </w:tc>
        <w:tc>
          <w:tcPr>
            <w:tcW w:w="1964" w:type="dxa"/>
            <w:gridSpan w:val="2"/>
            <w:vAlign w:val="center"/>
          </w:tcPr>
          <w:p>
            <w:pPr>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220</w:t>
            </w:r>
          </w:p>
        </w:tc>
        <w:tc>
          <w:tcPr>
            <w:tcW w:w="217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所属单位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隶属关系</w:t>
            </w:r>
          </w:p>
        </w:tc>
        <w:tc>
          <w:tcPr>
            <w:tcW w:w="2403" w:type="dxa"/>
            <w:vAlign w:val="center"/>
          </w:tcPr>
          <w:p>
            <w:pPr>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集体所属单位</w:t>
            </w:r>
          </w:p>
        </w:tc>
        <w:tc>
          <w:tcPr>
            <w:tcW w:w="6543" w:type="dxa"/>
            <w:gridSpan w:val="7"/>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开平市人民政府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推荐评选单位</w:t>
            </w:r>
          </w:p>
        </w:tc>
        <w:tc>
          <w:tcPr>
            <w:tcW w:w="6543" w:type="dxa"/>
            <w:gridSpan w:val="7"/>
            <w:vAlign w:val="center"/>
          </w:tcPr>
          <w:p>
            <w:pPr>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开平市人民政府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集体负责人</w:t>
            </w:r>
          </w:p>
        </w:tc>
        <w:tc>
          <w:tcPr>
            <w:tcW w:w="1964"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许锦源</w:t>
            </w:r>
          </w:p>
        </w:tc>
        <w:tc>
          <w:tcPr>
            <w:tcW w:w="2176" w:type="dxa"/>
            <w:gridSpan w:val="4"/>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联系电话</w:t>
            </w:r>
          </w:p>
        </w:tc>
        <w:tc>
          <w:tcPr>
            <w:tcW w:w="2403" w:type="dxa"/>
            <w:vAlign w:val="center"/>
          </w:tcPr>
          <w:p>
            <w:pPr>
              <w:jc w:val="center"/>
              <w:rPr>
                <w:rFonts w:hint="default" w:ascii="仿宋_GB2312" w:hAnsi="仿宋_GB2312" w:eastAsia="仿宋_GB2312" w:cs="仿宋_GB2312"/>
                <w:b/>
                <w:bCs/>
                <w:color w:val="000000" w:themeColor="text1"/>
                <w:sz w:val="24"/>
                <w:szCs w:val="24"/>
                <w:highlight w:val="none"/>
                <w:lang w:val="en"/>
                <w14:textFill>
                  <w14:solidFill>
                    <w14:schemeClr w14:val="tx1"/>
                  </w14:solidFill>
                </w14:textFill>
              </w:rPr>
            </w:pPr>
            <w:r>
              <w:rPr>
                <w:rFonts w:hint="default" w:ascii="仿宋_GB2312" w:hAnsi="仿宋_GB2312" w:cs="仿宋_GB2312"/>
                <w:b/>
                <w:bCs/>
                <w:color w:val="000000" w:themeColor="text1"/>
                <w:sz w:val="24"/>
                <w:szCs w:val="24"/>
                <w:highlight w:val="none"/>
                <w:lang w:val="en"/>
                <w14:textFill>
                  <w14:solidFill>
                    <w14:schemeClr w14:val="tx1"/>
                  </w14:solidFill>
                </w14:textFill>
              </w:rPr>
              <w:t>0750-2611328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集体办公电话</w:t>
            </w:r>
          </w:p>
        </w:tc>
        <w:tc>
          <w:tcPr>
            <w:tcW w:w="1964" w:type="dxa"/>
            <w:gridSpan w:val="2"/>
            <w:vAlign w:val="center"/>
          </w:tcPr>
          <w:p>
            <w:pPr>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0750-2612995</w:t>
            </w:r>
          </w:p>
        </w:tc>
        <w:tc>
          <w:tcPr>
            <w:tcW w:w="2176" w:type="dxa"/>
            <w:gridSpan w:val="4"/>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电子邮箱</w:t>
            </w:r>
          </w:p>
        </w:tc>
        <w:tc>
          <w:tcPr>
            <w:tcW w:w="2403" w:type="dxa"/>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18"/>
                <w:szCs w:val="18"/>
                <w:highlight w:val="none"/>
                <w:lang w:val="en-US" w:eastAsia="zh-CN"/>
                <w14:textFill>
                  <w14:solidFill>
                    <w14:schemeClr w14:val="tx1"/>
                  </w14:solidFill>
                </w14:textFill>
              </w:rPr>
              <w:t>kpsckz@jiangmen.gov.cn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集体单位地址</w:t>
            </w:r>
          </w:p>
        </w:tc>
        <w:tc>
          <w:tcPr>
            <w:tcW w:w="6543" w:type="dxa"/>
            <w:gridSpan w:val="7"/>
            <w:vAlign w:val="center"/>
          </w:tcPr>
          <w:p>
            <w:pPr>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开平市赤坎镇北郊路73号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曾获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情况</w:t>
            </w:r>
          </w:p>
        </w:tc>
        <w:tc>
          <w:tcPr>
            <w:tcW w:w="6543" w:type="dxa"/>
            <w:gridSpan w:val="7"/>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2022年</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赤坎古镇华侨文化展示旅游项目入选入选首批10个广东省文化产业赋能乡村振兴典型案例。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39" w:type="dxa"/>
            <w:gridSpan w:val="9"/>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主要先进事迹</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1500字</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8839" w:type="dxa"/>
            <w:gridSpan w:val="9"/>
            <w:vAlign w:val="top"/>
          </w:tcPr>
          <w:p>
            <w:pPr>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val="0"/>
                <w:bCs w:val="0"/>
                <w:color w:val="A6A6A6" w:themeColor="background1" w:themeShade="A6"/>
                <w:sz w:val="24"/>
                <w:szCs w:val="24"/>
                <w:highlight w:val="none"/>
                <w:lang w:eastAsia="zh-CN"/>
              </w:rPr>
              <w:t>（</w:t>
            </w:r>
            <w:r>
              <w:rPr>
                <w:rFonts w:hint="eastAsia" w:ascii="仿宋_GB2312" w:hAnsi="仿宋_GB2312" w:eastAsia="仿宋_GB2312" w:cs="仿宋_GB2312"/>
                <w:b w:val="0"/>
                <w:bCs w:val="0"/>
                <w:color w:val="A6A6A6" w:themeColor="background1" w:themeShade="A6"/>
                <w:sz w:val="24"/>
                <w:szCs w:val="24"/>
                <w:highlight w:val="none"/>
                <w:lang w:eastAsia="zh-CN"/>
              </w:rPr>
              <w:t>历史文化保护传承相关工作</w:t>
            </w:r>
            <w:r>
              <w:rPr>
                <w:rFonts w:hint="eastAsia" w:ascii="仿宋_GB2312" w:hAnsi="仿宋_GB2312" w:cs="仿宋_GB2312"/>
                <w:b w:val="0"/>
                <w:bCs w:val="0"/>
                <w:color w:val="A6A6A6" w:themeColor="background1" w:themeShade="A6"/>
                <w:sz w:val="24"/>
                <w:szCs w:val="24"/>
                <w:highlight w:val="none"/>
                <w:lang w:eastAsia="zh-CN"/>
              </w:rPr>
              <w:t>）</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近年来，赤坎镇全面贯彻习近平新时代中国特色社会主义思想，深入学习贯彻党的二十大精神，坚持在保护的基础上进行活化利用，扎实做好历史文化保护传承工作，取得明显成效。</w:t>
            </w:r>
          </w:p>
          <w:p>
            <w:pPr>
              <w:spacing w:line="560" w:lineRule="exact"/>
              <w:ind w:firstLine="640" w:firstLineChars="200"/>
              <w:jc w:val="left"/>
              <w:rPr>
                <w:rFonts w:hint="eastAsia" w:ascii="Times New Roman" w:hAnsi="Times New Roman" w:eastAsia="黑体" w:cs="黑体"/>
                <w:sz w:val="32"/>
                <w:szCs w:val="32"/>
              </w:rPr>
            </w:pPr>
            <w:r>
              <w:rPr>
                <w:rFonts w:hint="eastAsia" w:ascii="Times New Roman" w:hAnsi="Times New Roman" w:eastAsia="黑体" w:cs="黑体"/>
                <w:sz w:val="32"/>
                <w:szCs w:val="32"/>
              </w:rPr>
              <w:t>一、坚持党建引领，推进赤坎华侨古镇保护与活化利用工程</w:t>
            </w:r>
          </w:p>
          <w:p>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赤坎华侨古镇由上埠关族、下埠司徒氏在古镇东西两端聚居发展而成，已有370年开埠历史，拥有600多座骑楼，组成了全国规模最大、界面最连续、保存最完整的侨乡骑楼建筑群，于2007年被评为中国历史文化名镇。为进一步做好赤坎华侨古镇保护工作，赤坎镇坚持党建引领，打造“直联+赤坎华侨古镇”党建品牌，广泛联系群众和海外侨胞超1.2万人次，了解到有超过96%的居民和华侨华人迫切希望推动古镇保护与活化利用工作。在江门和开平市两级党委、政府的支持下，赤坎镇启动赤坎华侨古镇保护与活化利用工程（下称赤坎华侨古镇项目）。赤坎华侨古镇项目于2014年12月完成立项， 于2019年初正式开工建设，得到省、江门市的大力支持，先后被列入江门市和广东省重点项目，获得上级资金和用地指标方面的支持。2016年，赤坎镇被住房城乡建设部会签国家发展改革委、财政部，认定为第一批中国特色小镇。2018年，赤坎镇华侨文化旅游小镇入选省特色小镇培育清单，省发改委拨付150万元用于支持前期建设工作。2021年，赤坎镇党委被广东省委评为广东省先进基层党组织。2022年8月，赤坎华侨古镇项目入选首批10个广东省文化产业赋能乡村振兴典型案例。</w:t>
            </w:r>
          </w:p>
          <w:p>
            <w:pPr>
              <w:spacing w:line="560" w:lineRule="exact"/>
              <w:ind w:firstLine="640" w:firstLineChars="200"/>
              <w:jc w:val="left"/>
              <w:rPr>
                <w:rFonts w:hint="eastAsia" w:ascii="Times New Roman" w:hAnsi="Times New Roman" w:eastAsia="黑体" w:cs="黑体"/>
                <w:sz w:val="32"/>
                <w:szCs w:val="32"/>
              </w:rPr>
            </w:pPr>
            <w:r>
              <w:rPr>
                <w:rFonts w:hint="eastAsia" w:ascii="Times New Roman" w:hAnsi="Times New Roman" w:eastAsia="黑体" w:cs="黑体"/>
                <w:sz w:val="32"/>
                <w:szCs w:val="32"/>
              </w:rPr>
              <w:t>二、贯彻新发展理念，加快赤坎历史文化保护传承工作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赤坎镇深入贯彻新发展理念，贯彻落实习近平总书记关于历史文化保护传承系列重要论述精神，不折不扣落实《关于在城乡建设中加强历史文化保护传承的意见》（厅字〔2021〕36号）、《关于在实施城市更新行动中防止大拆大建问题的通知》（建科〔2021〕63号）等文件精神，以赤坎华侨古镇为重点，以点带面推进全镇历史文化保护传承工作。</w:t>
            </w:r>
            <w:r>
              <w:rPr>
                <w:rFonts w:hint="eastAsia" w:ascii="Times New Roman" w:hAnsi="Times New Roman" w:eastAsia="仿宋_GB2312" w:cs="仿宋_GB2312"/>
                <w:sz w:val="32"/>
                <w:szCs w:val="32"/>
              </w:rPr>
              <w:t>2021年，传承弘扬赤坎历史建筑风貌的“赤坎侨小馆”项目被联合国教科文组织遗产地可持续旅游教席评为“十佳案例”。</w:t>
            </w:r>
            <w:r>
              <w:rPr>
                <w:rFonts w:hint="eastAsia" w:ascii="仿宋_GB2312" w:hAnsi="仿宋_GB2312" w:eastAsia="仿宋_GB2312" w:cs="仿宋_GB2312"/>
                <w:b/>
                <w:bCs/>
                <w:sz w:val="32"/>
                <w:szCs w:val="32"/>
              </w:rPr>
              <w:t>一是坚持规划先行。</w:t>
            </w:r>
            <w:r>
              <w:rPr>
                <w:rFonts w:hint="eastAsia" w:ascii="仿宋_GB2312" w:hAnsi="仿宋_GB2312" w:eastAsia="仿宋_GB2312" w:cs="仿宋_GB2312"/>
                <w:sz w:val="32"/>
                <w:szCs w:val="32"/>
              </w:rPr>
              <w:t>2017年，编制完成《广东省文物保护单位——赤坎旧镇近代建筑群保护规划（2017-2037）》，并获得省文化厅和省住建厅审批。2022年，编制完成《中国历史文化名镇广东省开平市赤坎镇保护规划（2021-2035年）》，已上报省住建厅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编制完成</w:t>
            </w:r>
            <w:r>
              <w:rPr>
                <w:rFonts w:hint="eastAsia" w:ascii="仿宋_GB2312" w:hAnsi="仿宋_GB2312" w:eastAsia="仿宋_GB2312" w:cs="仿宋_GB2312"/>
                <w:color w:val="auto"/>
                <w:sz w:val="32"/>
                <w:szCs w:val="32"/>
              </w:rPr>
              <w:t>《开平赤坎历史文化名镇空间格局演变及价值特色评估》，确保做好赤坎华侨古镇及相邻区域的历史文化资源保护活化利用相关工作。</w:t>
            </w:r>
            <w:r>
              <w:rPr>
                <w:rFonts w:hint="eastAsia" w:ascii="仿宋_GB2312" w:hAnsi="仿宋_GB2312" w:eastAsia="仿宋_GB2312" w:cs="仿宋_GB2312"/>
                <w:b/>
                <w:bCs/>
                <w:sz w:val="32"/>
                <w:szCs w:val="32"/>
              </w:rPr>
              <w:t>二是做好普查认定保护工作。</w:t>
            </w:r>
            <w:r>
              <w:rPr>
                <w:rFonts w:hint="eastAsia" w:ascii="仿宋_GB2312" w:hAnsi="仿宋_GB2312" w:eastAsia="仿宋_GB2312" w:cs="仿宋_GB2312"/>
                <w:sz w:val="32"/>
                <w:szCs w:val="32"/>
              </w:rPr>
              <w:t>结合党史学习教育，深入开展全镇文物普查行动，强化文物保护提升工作。目前，</w:t>
            </w:r>
            <w:r>
              <w:rPr>
                <w:rFonts w:hint="eastAsia" w:ascii="Times New Roman" w:hAnsi="Times New Roman" w:eastAsia="仿宋_GB2312" w:cs="仿宋_GB2312"/>
                <w:sz w:val="32"/>
                <w:szCs w:val="32"/>
              </w:rPr>
              <w:t>赤坎镇共有县级以上文物保护单位7处（包括全国重点文物保护单位2处、省级文物保护单位2处、县级文物保护单位3处）、一般不可移动文物54处、历史建筑13栋、江门市级非物质文化遗产项目4个，已全部落实挂牌建档和保护工作。其中，2019年以来新增全国重点文物保护单位1处、省级文物保护单位1处、历史建筑13栋、江门市级非物质文化遗产项目3个。2022年8月，江门市开平古建筑与世界文化遗产研究院在赤坎侨小馆揭牌成立，特聘中国工程院何镜堂院士等18位专家学者为首批专家顾问，将为赤坎镇进一步做好历史文化保护传承工作提供指导。</w:t>
            </w:r>
            <w:r>
              <w:rPr>
                <w:rFonts w:hint="eastAsia" w:ascii="仿宋_GB2312" w:hAnsi="仿宋_GB2312" w:eastAsia="仿宋_GB2312" w:cs="仿宋_GB2312"/>
                <w:b/>
                <w:bCs/>
                <w:sz w:val="32"/>
                <w:szCs w:val="32"/>
              </w:rPr>
              <w:t>三是做好修缮保护工作。</w:t>
            </w:r>
            <w:r>
              <w:rPr>
                <w:rFonts w:hint="eastAsia" w:ascii="仿宋_GB2312" w:hAnsi="仿宋_GB2312" w:eastAsia="仿宋_GB2312" w:cs="仿宋_GB2312"/>
                <w:sz w:val="32"/>
                <w:szCs w:val="32"/>
              </w:rPr>
              <w:t>2019年，组织编制《广东省文物保护单位——赤坎旧镇近现代建筑群（17栋）修缮工程设计方案》，并获省文物局审批。2020年启动赤坎华侨古镇文物修缮工作，聘请有资质的施工单位和监理单位，对条件成熟的14栋文保建筑进行保护修缮，目前已完成工程进度的87%。</w:t>
            </w:r>
            <w:r>
              <w:rPr>
                <w:rFonts w:hint="eastAsia" w:ascii="仿宋_GB2312" w:hAnsi="仿宋_GB2312" w:eastAsia="仿宋_GB2312" w:cs="仿宋_GB2312"/>
                <w:b/>
                <w:bCs/>
                <w:sz w:val="32"/>
                <w:szCs w:val="32"/>
              </w:rPr>
              <w:t>四是做好村落文物建筑的日常保养工作。</w:t>
            </w:r>
            <w:r>
              <w:rPr>
                <w:rFonts w:hint="eastAsia" w:ascii="仿宋_GB2312" w:hAnsi="仿宋_GB2312" w:eastAsia="仿宋_GB2312" w:cs="仿宋_GB2312"/>
                <w:sz w:val="32"/>
                <w:szCs w:val="32"/>
              </w:rPr>
              <w:t>2022年，完成全国重点文物保护单位司徒美堂故居和县级文物保护单位邓一飞故居的日常保养项目建设，以及司徒美堂故居陈列展览布展工作。</w:t>
            </w:r>
          </w:p>
          <w:p>
            <w:pPr>
              <w:pStyle w:val="5"/>
              <w:ind w:firstLine="600" w:firstLineChars="200"/>
              <w:rPr>
                <w:rFonts w:hint="eastAsia" w:ascii="Times New Roman" w:hAnsi="Times New Roman" w:eastAsia="黑体" w:cs="黑体"/>
                <w:kern w:val="2"/>
              </w:rPr>
            </w:pPr>
            <w:r>
              <w:rPr>
                <w:rFonts w:hint="eastAsia" w:ascii="Times New Roman" w:hAnsi="Times New Roman" w:eastAsia="黑体" w:cs="黑体"/>
                <w:kern w:val="2"/>
              </w:rPr>
              <w:t>三、压实工作责任，建立保障机制</w:t>
            </w:r>
          </w:p>
          <w:p>
            <w:pPr>
              <w:spacing w:line="576" w:lineRule="exact"/>
              <w:ind w:firstLine="640"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sz w:val="32"/>
                <w:szCs w:val="32"/>
              </w:rPr>
              <w:t>赤坎镇构建党政主要领导总负责、分管领导具体负责、职能部门抓落实的工作机制，压实工作责任，强化历史文化保护传承工作要素保障。</w:t>
            </w:r>
            <w:r>
              <w:rPr>
                <w:rFonts w:hint="eastAsia" w:ascii="仿宋_GB2312" w:hAnsi="仿宋_GB2312" w:eastAsia="仿宋_GB2312" w:cs="仿宋_GB2312"/>
                <w:b/>
                <w:bCs/>
                <w:sz w:val="32"/>
                <w:szCs w:val="32"/>
              </w:rPr>
              <w:t>一是把历史文化保护经费列入本级年度财政预算，并建立动态调整机制，为历史文化保护传承工作提供资金保障。</w:t>
            </w:r>
            <w:r>
              <w:rPr>
                <w:rFonts w:hint="eastAsia" w:ascii="仿宋_GB2312" w:hAnsi="仿宋_GB2312" w:eastAsia="仿宋_GB2312" w:cs="仿宋_GB2312"/>
                <w:sz w:val="32"/>
                <w:szCs w:val="32"/>
              </w:rPr>
              <w:t>2019年以来，政府累计投资资金约1600万元，用于司徒美堂故居布展和周边环境整治提升工作，以及迎龙楼、南楼等文物修缮保护和历史文化保护传承工作；引入社会资本，对赤坎旧镇近代建筑群进行修缮保护，修缮合同费用7000万元，至今累计已投入4000多万元。</w:t>
            </w:r>
            <w:r>
              <w:rPr>
                <w:rFonts w:hint="eastAsia" w:ascii="仿宋_GB2312" w:hAnsi="仿宋_GB2312" w:eastAsia="仿宋_GB2312" w:cs="仿宋_GB2312"/>
                <w:b/>
                <w:bCs/>
                <w:sz w:val="32"/>
                <w:szCs w:val="32"/>
              </w:rPr>
              <w:t>二是组建专家团队，为古镇保护利用提供技术支撑。</w:t>
            </w:r>
            <w:r>
              <w:rPr>
                <w:rFonts w:hint="eastAsia" w:ascii="仿宋_GB2312" w:hAnsi="仿宋_GB2312" w:eastAsia="仿宋_GB2312" w:cs="仿宋_GB2312"/>
                <w:sz w:val="32"/>
                <w:szCs w:val="32"/>
              </w:rPr>
              <w:t>2021年，聘请规划、建筑、文保和历史文化等专业领域的10名专家（其中省专家5名、江门市专家2名、开平本地专家3名），组建了赤坎华侨古镇保护利用专家咨询团队，由专家团队对赤坎华侨古镇保护利用规划及设计方案进行梳理和把控，确保古镇传统骑楼风貌协调统一。</w:t>
            </w:r>
            <w:r>
              <w:rPr>
                <w:rFonts w:hint="eastAsia" w:ascii="仿宋_GB2312" w:hAnsi="仿宋_GB2312" w:eastAsia="仿宋_GB2312" w:cs="仿宋_GB2312"/>
                <w:b/>
                <w:bCs/>
                <w:sz w:val="32"/>
                <w:szCs w:val="32"/>
              </w:rPr>
              <w:t>三是完善机制，强化修缮保护监督管理。</w:t>
            </w:r>
            <w:r>
              <w:rPr>
                <w:rFonts w:hint="eastAsia" w:ascii="仿宋_GB2312" w:hAnsi="仿宋_GB2312" w:eastAsia="仿宋_GB2312" w:cs="仿宋_GB2312"/>
                <w:spacing w:val="6"/>
                <w:sz w:val="32"/>
                <w:szCs w:val="32"/>
              </w:rPr>
              <w:t>制定完善了《赤坎古镇保护与活化利用工程施工监督管理制度》《赤坎镇历史文化名镇保护管理制度》等工作制度，并组建赤坎华侨古镇专项监督管理</w:t>
            </w:r>
            <w:r>
              <w:rPr>
                <w:rFonts w:hint="eastAsia" w:ascii="仿宋_GB2312" w:hAnsi="仿宋_GB2312" w:eastAsia="仿宋_GB2312" w:cs="仿宋_GB2312"/>
                <w:sz w:val="32"/>
                <w:szCs w:val="32"/>
              </w:rPr>
              <w:t>队伍，加强对文物和历史建筑有关工程的监督和管理，及时发现问题及推动整改落实，确保文物保护修缮的工作质量和古镇历史街区的风貌协调性。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jc w:val="center"/>
        </w:trPr>
        <w:tc>
          <w:tcPr>
            <w:tcW w:w="2318" w:type="dxa"/>
            <w:gridSpan w:val="3"/>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所在单位意见</w:t>
            </w:r>
          </w:p>
        </w:tc>
        <w:tc>
          <w:tcPr>
            <w:tcW w:w="6521" w:type="dxa"/>
            <w:gridSpan w:val="6"/>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p>
            <w:pPr>
              <w:ind w:firstLine="0" w:firstLineChars="0"/>
              <w:jc w:val="both"/>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盖章</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8" w:type="dxa"/>
            <w:gridSpan w:val="3"/>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推荐评选单位</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意见</w:t>
            </w:r>
          </w:p>
        </w:tc>
        <w:tc>
          <w:tcPr>
            <w:tcW w:w="6521" w:type="dxa"/>
            <w:gridSpan w:val="6"/>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5"/>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5"/>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盖章</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机关事业单位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cs="仿宋_GB2312"/>
                <w:b/>
                <w:bCs/>
                <w:color w:val="000000" w:themeColor="text1"/>
                <w:sz w:val="30"/>
                <w:szCs w:val="30"/>
                <w:highlight w:val="none"/>
                <w:lang w:val="en-US" w:eastAsia="zh-CN"/>
                <w14:textFill>
                  <w14:solidFill>
                    <w14:schemeClr w14:val="tx1"/>
                  </w14:solidFill>
                </w14:textFill>
              </w:rPr>
              <w:t>需以下部门审核通过</w:t>
            </w:r>
          </w:p>
        </w:tc>
        <w:tc>
          <w:tcPr>
            <w:tcW w:w="442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社会组织和企业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cs="仿宋_GB2312"/>
                <w:b/>
                <w:bCs/>
                <w:color w:val="000000" w:themeColor="text1"/>
                <w:sz w:val="30"/>
                <w:szCs w:val="30"/>
                <w:highlight w:val="none"/>
                <w:lang w:val="en-US" w:eastAsia="zh-CN"/>
                <w14:textFill>
                  <w14:solidFill>
                    <w14:schemeClr w14:val="tx1"/>
                  </w14:solidFill>
                </w14:textFill>
              </w:rPr>
              <w:t>需以下部门审核通过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12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组织人事部门意见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tc>
        <w:tc>
          <w:tcPr>
            <w:tcW w:w="317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 w:cs="Times New Roman"/>
                <w:b/>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生态环境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313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Align w:val="center"/>
          </w:tcPr>
          <w:p>
            <w:pPr>
              <w:jc w:val="cente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纪检监察部门意见</w:t>
            </w:r>
          </w:p>
        </w:tc>
        <w:tc>
          <w:tcPr>
            <w:tcW w:w="317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人力资源</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和</w:t>
            </w:r>
            <w:r>
              <w:rPr>
                <w:rFonts w:hint="default" w:ascii="Times New Roman" w:hAnsi="Times New Roman" w:eastAsia="仿宋" w:cs="Times New Roman"/>
                <w:b/>
                <w:bCs/>
                <w:color w:val="000000" w:themeColor="text1"/>
                <w:sz w:val="24"/>
                <w:szCs w:val="24"/>
                <w:highlight w:val="none"/>
                <w14:textFill>
                  <w14:solidFill>
                    <w14:schemeClr w14:val="tx1"/>
                  </w14:solidFill>
                </w14:textFill>
              </w:rPr>
              <w:t>社会保障</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313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124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公安部门意见</w:t>
            </w:r>
          </w:p>
        </w:tc>
        <w:tc>
          <w:tcPr>
            <w:tcW w:w="3172"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税务</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意见</w:t>
            </w:r>
          </w:p>
        </w:tc>
        <w:tc>
          <w:tcPr>
            <w:tcW w:w="313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246" w:type="dxa"/>
            <w:vMerge w:val="continue"/>
            <w:vAlign w:val="center"/>
          </w:tcPr>
          <w:p>
            <w:pPr>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tc>
        <w:tc>
          <w:tcPr>
            <w:tcW w:w="3172" w:type="dxa"/>
            <w:gridSpan w:val="4"/>
            <w:vMerge w:val="continue"/>
            <w:vAlign w:val="center"/>
          </w:tcPr>
          <w:p>
            <w:pPr>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 w:cs="Times New Roman"/>
                <w:b/>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市场监管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313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6" w:hRule="atLeast"/>
          <w:jc w:val="center"/>
        </w:trPr>
        <w:tc>
          <w:tcPr>
            <w:tcW w:w="231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省评选表彰工作小组审核</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意见</w:t>
            </w:r>
          </w:p>
        </w:tc>
        <w:tc>
          <w:tcPr>
            <w:tcW w:w="6521" w:type="dxa"/>
            <w:gridSpan w:val="6"/>
            <w:vAlign w:val="top"/>
          </w:tcPr>
          <w:p>
            <w:pPr>
              <w:jc w:val="center"/>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jc w:val="center"/>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jc w:val="center"/>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pStyle w:val="5"/>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pStyle w:val="5"/>
              <w:rPr>
                <w:rFonts w:hint="eastAsia"/>
                <w:lang w:eastAsia="zh-CN"/>
              </w:rPr>
            </w:pPr>
          </w:p>
          <w:p>
            <w:pPr>
              <w:jc w:val="cente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（代章）</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1" w:hRule="atLeast"/>
          <w:jc w:val="center"/>
        </w:trPr>
        <w:tc>
          <w:tcPr>
            <w:tcW w:w="231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cs="仿宋_GB2312"/>
                <w:b/>
                <w:bCs/>
                <w:color w:val="000000" w:themeColor="text1"/>
                <w:kern w:val="2"/>
                <w:sz w:val="24"/>
                <w:szCs w:val="24"/>
                <w:highlight w:val="none"/>
                <w:lang w:val="en-US" w:eastAsia="zh-CN"/>
                <w14:textFill>
                  <w14:solidFill>
                    <w14:schemeClr w14:val="tx1"/>
                  </w14:solidFill>
                </w14:textFill>
              </w:rPr>
              <w:t>省人居环境品质提升领导小组组长、副组长</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审定</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意见</w:t>
            </w:r>
          </w:p>
        </w:tc>
        <w:tc>
          <w:tcPr>
            <w:tcW w:w="6521" w:type="dxa"/>
            <w:gridSpan w:val="6"/>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5"/>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5"/>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5"/>
              <w:rPr>
                <w:rFonts w:hint="eastAsia"/>
              </w:rPr>
            </w:pPr>
          </w:p>
          <w:p>
            <w:pPr>
              <w:ind w:firstLine="1446" w:firstLineChars="60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（代章）</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p>
          <w:p>
            <w:pPr>
              <w:jc w:val="cente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bl>
    <w:p>
      <w:pPr>
        <w:pStyle w:val="5"/>
        <w:rPr>
          <w:rFonts w:hint="default" w:ascii="黑体" w:hAnsi="黑体" w:eastAsia="黑体" w:cs="黑体"/>
          <w:b w:val="0"/>
          <w:bCs w:val="0"/>
          <w:color w:val="000000" w:themeColor="text1"/>
          <w:sz w:val="32"/>
          <w:szCs w:val="32"/>
          <w:highlight w:val="none"/>
          <w:u w:val="none"/>
          <w:lang w:val="en-US" w:eastAsia="zh-CN"/>
          <w14:textFill>
            <w14:solidFill>
              <w14:schemeClr w14:val="tx1"/>
            </w14:solidFill>
          </w14:textFill>
        </w:rPr>
      </w:pPr>
    </w:p>
    <w:sectPr>
      <w:footerReference r:id="rId5" w:type="default"/>
      <w:pgSz w:w="11906" w:h="16838"/>
      <w:pgMar w:top="164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C1A5F5-3044-48CA-B17D-ED97ABD2E4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8E971D9D-E0CB-41F8-B361-8CA69ABFBB4E}"/>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CE29A801-4369-4CC0-A284-0015815F459A}"/>
  </w:font>
  <w:font w:name="仿宋">
    <w:panose1 w:val="02010609060101010101"/>
    <w:charset w:val="86"/>
    <w:family w:val="auto"/>
    <w:pitch w:val="default"/>
    <w:sig w:usb0="800002BF" w:usb1="38CF7CFA" w:usb2="00000016" w:usb3="00000000" w:csb0="00040001" w:csb1="00000000"/>
    <w:embedRegular r:id="rId4" w:fontKey="{9EA94F4F-5D40-47FE-BF02-F1C2A6F3FDA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55025"/>
    <w:multiLevelType w:val="multilevel"/>
    <w:tmpl w:val="76155025"/>
    <w:lvl w:ilvl="0" w:tentative="0">
      <w:start w:val="1"/>
      <w:numFmt w:val="decimal"/>
      <w:pStyle w:val="2"/>
      <w:lvlText w:val="%1"/>
      <w:lvlJc w:val="left"/>
      <w:pPr>
        <w:ind w:left="0" w:firstLine="0"/>
      </w:pPr>
      <w:rPr>
        <w:rFonts w:hint="eastAsia"/>
      </w:rPr>
    </w:lvl>
    <w:lvl w:ilvl="1" w:tentative="0">
      <w:start w:val="1"/>
      <w:numFmt w:val="decimal"/>
      <w:lvlText w:val="%1.%2"/>
      <w:lvlJc w:val="left"/>
      <w:pPr>
        <w:ind w:left="0" w:firstLine="0"/>
      </w:pPr>
      <w:rPr>
        <w:rFonts w:hint="default" w:ascii="Times New Roman" w:hAnsi="Times New Roman" w:eastAsia="黑体"/>
        <w:b w:val="0"/>
        <w:i w:val="0"/>
        <w:sz w:val="28"/>
      </w:rPr>
    </w:lvl>
    <w:lvl w:ilvl="2" w:tentative="0">
      <w:start w:val="1"/>
      <w:numFmt w:val="decimal"/>
      <w:lvlText w:val="%1.%2.%3"/>
      <w:lvlJc w:val="left"/>
      <w:pPr>
        <w:ind w:left="0" w:firstLine="0"/>
      </w:pPr>
      <w:rPr>
        <w:rFonts w:hint="default" w:ascii="Times New Roman" w:hAnsi="Times New Roman" w:eastAsia="楷体_GB2312"/>
        <w:b w:val="0"/>
        <w:i w:val="0"/>
        <w:sz w:val="28"/>
      </w:rPr>
    </w:lvl>
    <w:lvl w:ilvl="3" w:tentative="0">
      <w:start w:val="1"/>
      <w:numFmt w:val="decimal"/>
      <w:lvlText w:val="%1.%2.%3.%4"/>
      <w:lvlJc w:val="left"/>
      <w:pPr>
        <w:ind w:left="1134" w:firstLine="0"/>
      </w:pPr>
      <w:rPr>
        <w:rFonts w:hint="default" w:ascii="Times New Roman" w:hAnsi="Times New Roman" w:cs="Times New Roman"/>
        <w:sz w:val="28"/>
        <w:szCs w:val="28"/>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Dc3NjY2NzgxMTFmZmU2OGI5OWIwMzIyYzUzYzkifQ=="/>
  </w:docVars>
  <w:rsids>
    <w:rsidRoot w:val="00172A27"/>
    <w:rsid w:val="00B514A5"/>
    <w:rsid w:val="032D15DD"/>
    <w:rsid w:val="034E4440"/>
    <w:rsid w:val="050815FB"/>
    <w:rsid w:val="06034E5F"/>
    <w:rsid w:val="06270B33"/>
    <w:rsid w:val="069A1E98"/>
    <w:rsid w:val="06C30D65"/>
    <w:rsid w:val="06E17BB1"/>
    <w:rsid w:val="0A452014"/>
    <w:rsid w:val="0A4C7277"/>
    <w:rsid w:val="0AC96A31"/>
    <w:rsid w:val="0B1108B3"/>
    <w:rsid w:val="0BC00E92"/>
    <w:rsid w:val="0C964B58"/>
    <w:rsid w:val="0D37295B"/>
    <w:rsid w:val="0D3D1A44"/>
    <w:rsid w:val="0D615EFD"/>
    <w:rsid w:val="0DB1204E"/>
    <w:rsid w:val="0DD83914"/>
    <w:rsid w:val="0EC16D72"/>
    <w:rsid w:val="0F3A6609"/>
    <w:rsid w:val="107E7DBB"/>
    <w:rsid w:val="10A93C13"/>
    <w:rsid w:val="11281F7B"/>
    <w:rsid w:val="112D5F1E"/>
    <w:rsid w:val="12CF3140"/>
    <w:rsid w:val="156E60D3"/>
    <w:rsid w:val="15994194"/>
    <w:rsid w:val="15B90963"/>
    <w:rsid w:val="178A2BE0"/>
    <w:rsid w:val="18704C0B"/>
    <w:rsid w:val="19535F28"/>
    <w:rsid w:val="19A5344D"/>
    <w:rsid w:val="1B36766B"/>
    <w:rsid w:val="1B756708"/>
    <w:rsid w:val="1B891478"/>
    <w:rsid w:val="1BC13372"/>
    <w:rsid w:val="1D596762"/>
    <w:rsid w:val="1DDB1EC9"/>
    <w:rsid w:val="1E96532B"/>
    <w:rsid w:val="1EB4293F"/>
    <w:rsid w:val="20FC1A8C"/>
    <w:rsid w:val="20FC389E"/>
    <w:rsid w:val="219C20C7"/>
    <w:rsid w:val="21F03C1B"/>
    <w:rsid w:val="228B1615"/>
    <w:rsid w:val="2307453E"/>
    <w:rsid w:val="237B6502"/>
    <w:rsid w:val="240D1D1A"/>
    <w:rsid w:val="245928CB"/>
    <w:rsid w:val="24671072"/>
    <w:rsid w:val="25657284"/>
    <w:rsid w:val="263604F0"/>
    <w:rsid w:val="27252E66"/>
    <w:rsid w:val="28071151"/>
    <w:rsid w:val="28BA6C9F"/>
    <w:rsid w:val="29ED40B4"/>
    <w:rsid w:val="2C6D07AA"/>
    <w:rsid w:val="2D1C52EC"/>
    <w:rsid w:val="2D8D4DF8"/>
    <w:rsid w:val="2E89625C"/>
    <w:rsid w:val="2FE778C1"/>
    <w:rsid w:val="30013FC0"/>
    <w:rsid w:val="30500A7F"/>
    <w:rsid w:val="32745B37"/>
    <w:rsid w:val="34F240D0"/>
    <w:rsid w:val="35012C07"/>
    <w:rsid w:val="35DF703E"/>
    <w:rsid w:val="373768F2"/>
    <w:rsid w:val="383548D6"/>
    <w:rsid w:val="38411FD1"/>
    <w:rsid w:val="394A45F8"/>
    <w:rsid w:val="3A5A48AB"/>
    <w:rsid w:val="3B88379C"/>
    <w:rsid w:val="3C7B42A0"/>
    <w:rsid w:val="3CDE448E"/>
    <w:rsid w:val="3F0750D6"/>
    <w:rsid w:val="40292BC9"/>
    <w:rsid w:val="408E0203"/>
    <w:rsid w:val="40987879"/>
    <w:rsid w:val="41D310D8"/>
    <w:rsid w:val="4260424C"/>
    <w:rsid w:val="43CB1FCC"/>
    <w:rsid w:val="449B55EA"/>
    <w:rsid w:val="44DE1B5E"/>
    <w:rsid w:val="44EA2984"/>
    <w:rsid w:val="451F2F53"/>
    <w:rsid w:val="47F529EF"/>
    <w:rsid w:val="49ED38CE"/>
    <w:rsid w:val="49F74118"/>
    <w:rsid w:val="4A4B4999"/>
    <w:rsid w:val="4BAB50BD"/>
    <w:rsid w:val="4D34186A"/>
    <w:rsid w:val="4E9D0B3D"/>
    <w:rsid w:val="4FB33139"/>
    <w:rsid w:val="51123B40"/>
    <w:rsid w:val="52B87278"/>
    <w:rsid w:val="53883A7A"/>
    <w:rsid w:val="53D32212"/>
    <w:rsid w:val="546E3365"/>
    <w:rsid w:val="54DD0F41"/>
    <w:rsid w:val="54ED0312"/>
    <w:rsid w:val="55134317"/>
    <w:rsid w:val="556808E6"/>
    <w:rsid w:val="56E34B11"/>
    <w:rsid w:val="579136AD"/>
    <w:rsid w:val="57FA3401"/>
    <w:rsid w:val="589F6237"/>
    <w:rsid w:val="58D95E46"/>
    <w:rsid w:val="59A360A9"/>
    <w:rsid w:val="59DE3BF5"/>
    <w:rsid w:val="5D1123EF"/>
    <w:rsid w:val="5D4F4269"/>
    <w:rsid w:val="5D5865BD"/>
    <w:rsid w:val="5DE759B3"/>
    <w:rsid w:val="5E575A76"/>
    <w:rsid w:val="60923FAF"/>
    <w:rsid w:val="622C0C4E"/>
    <w:rsid w:val="629F4733"/>
    <w:rsid w:val="6422090A"/>
    <w:rsid w:val="65754736"/>
    <w:rsid w:val="6591774F"/>
    <w:rsid w:val="66EE23C0"/>
    <w:rsid w:val="66EF1D4A"/>
    <w:rsid w:val="67275DE0"/>
    <w:rsid w:val="67CD066C"/>
    <w:rsid w:val="681727BD"/>
    <w:rsid w:val="689A3813"/>
    <w:rsid w:val="68AD73B3"/>
    <w:rsid w:val="68F96C41"/>
    <w:rsid w:val="6A1352DE"/>
    <w:rsid w:val="6B3163C4"/>
    <w:rsid w:val="6BF81E70"/>
    <w:rsid w:val="6C524D1C"/>
    <w:rsid w:val="6C572D24"/>
    <w:rsid w:val="6CB63787"/>
    <w:rsid w:val="6E307CCB"/>
    <w:rsid w:val="6F472048"/>
    <w:rsid w:val="6F65C3D0"/>
    <w:rsid w:val="6FF32F00"/>
    <w:rsid w:val="70B262F0"/>
    <w:rsid w:val="714A368A"/>
    <w:rsid w:val="72256B28"/>
    <w:rsid w:val="73D150BE"/>
    <w:rsid w:val="743837B3"/>
    <w:rsid w:val="74C65AD0"/>
    <w:rsid w:val="74C7054F"/>
    <w:rsid w:val="74C835DF"/>
    <w:rsid w:val="753C1715"/>
    <w:rsid w:val="75486A73"/>
    <w:rsid w:val="75BB1F82"/>
    <w:rsid w:val="766525AC"/>
    <w:rsid w:val="76674B96"/>
    <w:rsid w:val="76BC6F86"/>
    <w:rsid w:val="77374C68"/>
    <w:rsid w:val="7740408E"/>
    <w:rsid w:val="77598308"/>
    <w:rsid w:val="782355E5"/>
    <w:rsid w:val="79B31BCC"/>
    <w:rsid w:val="7A661742"/>
    <w:rsid w:val="7C9E4B23"/>
    <w:rsid w:val="7D0732D8"/>
    <w:rsid w:val="7D5AD26E"/>
    <w:rsid w:val="7D7FBBE5"/>
    <w:rsid w:val="7E213970"/>
    <w:rsid w:val="CB97BC52"/>
    <w:rsid w:val="D7BB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2"/>
    <w:basedOn w:val="1"/>
    <w:next w:val="1"/>
    <w:qFormat/>
    <w:uiPriority w:val="9"/>
    <w:pPr>
      <w:keepNext/>
      <w:keepLines/>
      <w:spacing w:before="260" w:after="260" w:line="560" w:lineRule="exact"/>
      <w:outlineLvl w:val="1"/>
    </w:pPr>
    <w:rPr>
      <w:rFonts w:ascii="Cambria" w:hAnsi="Cambria" w:cs="黑体"/>
      <w:b/>
      <w:bCs/>
      <w:sz w:val="30"/>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自定标题2"/>
    <w:basedOn w:val="3"/>
    <w:qFormat/>
    <w:uiPriority w:val="99"/>
    <w:pPr>
      <w:numPr>
        <w:ilvl w:val="0"/>
        <w:numId w:val="1"/>
      </w:numPr>
      <w:tabs>
        <w:tab w:val="left" w:pos="320"/>
        <w:tab w:val="left" w:pos="993"/>
      </w:tabs>
      <w:spacing w:beforeLines="200" w:afterLines="200"/>
    </w:pPr>
    <w:rPr>
      <w:rFonts w:ascii="Times New Roman" w:hAnsi="Times New Roman"/>
      <w:sz w:val="32"/>
    </w:rPr>
  </w:style>
  <w:style w:type="paragraph" w:styleId="4">
    <w:name w:val="Normal Indent"/>
    <w:basedOn w:val="1"/>
    <w:next w:val="5"/>
    <w:unhideWhenUsed/>
    <w:qFormat/>
    <w:uiPriority w:val="99"/>
    <w:pPr>
      <w:ind w:firstLine="420" w:firstLineChars="200"/>
    </w:pPr>
  </w:style>
  <w:style w:type="paragraph" w:styleId="5">
    <w:name w:val="Body Text"/>
    <w:basedOn w:val="1"/>
    <w:next w:val="4"/>
    <w:qFormat/>
    <w:uiPriority w:val="0"/>
    <w:rPr>
      <w:rFonts w:ascii="Times New Roman" w:hAnsi="Times New Roman" w:eastAsia="仿宋_GB2312" w:cs="Times New Roman"/>
      <w:sz w:val="30"/>
    </w:rPr>
  </w:style>
  <w:style w:type="paragraph" w:styleId="6">
    <w:name w:val="Plain Text"/>
    <w:qFormat/>
    <w:uiPriority w:val="0"/>
    <w:pPr>
      <w:widowControl w:val="0"/>
      <w:jc w:val="both"/>
    </w:pPr>
    <w:rPr>
      <w:rFonts w:ascii="宋体" w:hAnsi="Courier New" w:eastAsiaTheme="minorEastAsia" w:cstheme="minorBidi"/>
      <w:kern w:val="2"/>
      <w:sz w:val="21"/>
      <w:szCs w:val="24"/>
      <w:lang w:val="en-US" w:eastAsia="zh-CN" w:bidi="ar-SA"/>
    </w:rPr>
  </w:style>
  <w:style w:type="paragraph" w:styleId="7">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heading"/>
    <w:basedOn w:val="1"/>
    <w:next w:val="10"/>
    <w:qFormat/>
    <w:uiPriority w:val="0"/>
    <w:rPr>
      <w:rFonts w:ascii="Arial" w:hAnsi="Arial"/>
      <w:b/>
    </w:rPr>
  </w:style>
  <w:style w:type="paragraph" w:styleId="10">
    <w:name w:val="index 1"/>
    <w:basedOn w:val="1"/>
    <w:next w:val="1"/>
    <w:qFormat/>
    <w:uiPriority w:val="0"/>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customStyle="1" w:styleId="16">
    <w:name w:val="List Paragraph"/>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2868</Words>
  <Characters>3034</Characters>
  <Lines>0</Lines>
  <Paragraphs>0</Paragraphs>
  <TotalTime>8</TotalTime>
  <ScaleCrop>false</ScaleCrop>
  <LinksUpToDate>false</LinksUpToDate>
  <CharactersWithSpaces>3390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2022-06-07T18:50:00Z</dcterms:created>
  <dc:creator>孙永辉</dc:creator>
  <cp:lastModifiedBy>Irene</cp:lastModifiedBy>
  <cp:lastPrinted>2023-01-10T17:01:00Z</cp:lastPrinted>
  <dcterms:modified xsi:type="dcterms:W3CDTF">2023-01-11T02:08:19Z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4A94EF5689FF486791372563B5F61B10</vt:lpwstr>
  </property>
  <property fmtid="{D5CDD505-2E9C-101B-9397-08002B2CF9AE}" pid="4" name="ribbonExt">
    <vt:lpwstr>{"WPSExtOfficeTab":{"OnGetEnabled":false,"OnGetVisible":false}}</vt:lpwstr>
  </property>
</Properties>
</file>