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开平市政府中心机房消防系统</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建设项目采购需求</w:t>
      </w:r>
    </w:p>
    <w:p>
      <w:pPr>
        <w:spacing w:line="540" w:lineRule="atLeast"/>
        <w:jc w:val="left"/>
        <w:rPr>
          <w:rFonts w:ascii="黑体" w:hAnsi="黑体" w:eastAsia="黑体"/>
          <w:b/>
          <w:sz w:val="40"/>
          <w:szCs w:val="30"/>
        </w:r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项目名称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开平市政府中心机房消防系统建设项目</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项目背景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auto"/>
          <w:sz w:val="32"/>
          <w:szCs w:val="32"/>
        </w:rPr>
        <w:t>开平市政府中心机房的数据中心机房原有的消防灭火瓶已经使用20年，经咨询专业消防机构，设备已超过使用年限，建议更换消防灭火瓶、相关管道和设备确保安全。</w:t>
      </w:r>
      <w:bookmarkStart w:id="5" w:name="_GoBack"/>
      <w:bookmarkEnd w:id="5"/>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供应商相关要求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bookmarkStart w:id="0" w:name="_Toc415217502"/>
      <w:bookmarkStart w:id="1" w:name="_Toc44590129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投报人符合《中华人民共和国政府采购法》相关的规定。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投报人应当是具有合法经营资格的法人，具有良好的信誉</w:t>
      </w:r>
      <w:r>
        <w:rPr>
          <w:rFonts w:hint="eastAsia" w:ascii="仿宋" w:hAnsi="仿宋" w:eastAsia="仿宋" w:cs="仿宋"/>
          <w:color w:val="auto"/>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投报人应当设有固定的售后服务机构（必须提供相关证明材料，不接受委托第三方提供售后服务）。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投报人须有能力提供完善的售后服务，包括：稳定技术人员、响应时间，技术服务人员须有相关工作经验。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本项目不接受联合体投报，不允许转包或分包项目。</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建设目标</w:t>
      </w:r>
    </w:p>
    <w:tbl>
      <w:tblPr>
        <w:tblStyle w:val="13"/>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87"/>
        <w:gridCol w:w="5301"/>
        <w:gridCol w:w="51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78" w:hRule="atLeast"/>
        </w:trPr>
        <w:tc>
          <w:tcPr>
            <w:tcW w:w="1687" w:type="dxa"/>
            <w:tcBorders>
              <w:tl2br w:val="nil"/>
              <w:tr2bl w:val="nil"/>
            </w:tcBorders>
            <w:shd w:val="clear" w:color="000000"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设备名称</w:t>
            </w:r>
          </w:p>
        </w:tc>
        <w:tc>
          <w:tcPr>
            <w:tcW w:w="5301" w:type="dxa"/>
            <w:tcBorders>
              <w:tl2br w:val="nil"/>
              <w:tr2bl w:val="nil"/>
            </w:tcBorders>
            <w:shd w:val="clear" w:color="000000"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设备参数</w:t>
            </w:r>
          </w:p>
        </w:tc>
        <w:tc>
          <w:tcPr>
            <w:tcW w:w="510" w:type="dxa"/>
            <w:tcBorders>
              <w:tl2br w:val="nil"/>
              <w:tr2bl w:val="nil"/>
            </w:tcBorders>
            <w:shd w:val="clear" w:color="000000"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581" w:type="dxa"/>
            <w:tcBorders>
              <w:tl2br w:val="nil"/>
              <w:tr2bl w:val="nil"/>
            </w:tcBorders>
            <w:shd w:val="clear" w:color="000000" w:fill="BFBFB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78" w:hRule="atLeast"/>
        </w:trPr>
        <w:tc>
          <w:tcPr>
            <w:tcW w:w="1687" w:type="dxa"/>
            <w:tcBorders>
              <w:tl2br w:val="nil"/>
              <w:tr2bl w:val="nil"/>
            </w:tcBorders>
            <w:shd w:val="clear" w:color="000000"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u w:val="none"/>
                <w:lang w:val="en-US" w:eastAsia="zh-CN" w:bidi="ar"/>
              </w:rPr>
            </w:pPr>
            <w:r>
              <w:rPr>
                <w:rFonts w:hint="eastAsia" w:ascii="宋体" w:hAnsi="宋体" w:eastAsia="宋体" w:cs="宋体"/>
                <w:b w:val="0"/>
                <w:bCs/>
                <w:i w:val="0"/>
                <w:color w:val="auto"/>
                <w:kern w:val="0"/>
                <w:sz w:val="20"/>
                <w:szCs w:val="20"/>
                <w:u w:val="none"/>
                <w:lang w:val="en-US" w:eastAsia="zh-CN" w:bidi="ar"/>
              </w:rPr>
              <w:t>机房消防系统</w:t>
            </w:r>
          </w:p>
        </w:tc>
        <w:tc>
          <w:tcPr>
            <w:tcW w:w="5301" w:type="dxa"/>
            <w:tcBorders>
              <w:tl2br w:val="nil"/>
              <w:tr2bl w:val="nil"/>
            </w:tcBorders>
            <w:shd w:val="clear" w:color="000000"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0"/>
                <w:szCs w:val="20"/>
                <w:u w:val="none"/>
                <w:lang w:val="en-US" w:eastAsia="zh-CN" w:bidi="ar"/>
              </w:rPr>
            </w:pPr>
            <w:r>
              <w:rPr>
                <w:rFonts w:hint="eastAsia" w:ascii="宋体" w:hAnsi="宋体" w:eastAsia="宋体" w:cs="宋体"/>
                <w:b w:val="0"/>
                <w:bCs/>
                <w:i w:val="0"/>
                <w:color w:val="auto"/>
                <w:kern w:val="0"/>
                <w:sz w:val="20"/>
                <w:szCs w:val="20"/>
                <w:u w:val="none"/>
                <w:lang w:val="en-US" w:eastAsia="zh-CN" w:bidi="ar"/>
              </w:rPr>
              <w:t>1) 兼容要求:</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1.1) ▲必须确保更换升级的配置满足现有150平方以上机房面积；</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1.2) ▲必须确保更换升级的配置能够兼容原来的正在使用探头设备；</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1.3）★必须确保消防感应和控制设备，能够无缝接入IT运营设备监测系统（飞思网巡安全运营中心系统），让IT运营设备监测系统进行进行功能管理，部署策略进行信息上报触发预警通知。投标时需提供承诺函；</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2）配置需求:</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2.1）▲管网七氟丙烷灭火设备瓶组120L ≥3瓶组</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2.2）七氟丙烷药剂≥300KG</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2.3）氮气瓶 ≥3瓶组</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2.4）气体灭火控制器≥4区</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2.5）感烟探测器≥10</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2.6）感温探测器≥18</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2.7）声光警报器≥12</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2.8）放气指示灯≥6</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2.9）紧急启停按钮≥6</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2.10）专用电缆</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2.11）专用管道</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2.12）▲消防检查验收</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3）实施要求：</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3.1) 供应商实施必须有原厂工程师在现场协调安装调试，确保实施过程的稳定性，并提供原厂商现场技术培训和现场技术指导；</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3.2) 在增加更换升级的设备过程中，不影响消防系统的运作；</w:t>
            </w:r>
            <w:r>
              <w:rPr>
                <w:rFonts w:hint="eastAsia" w:ascii="宋体" w:hAnsi="宋体" w:eastAsia="宋体" w:cs="宋体"/>
                <w:b w:val="0"/>
                <w:bCs/>
                <w:i w:val="0"/>
                <w:color w:val="auto"/>
                <w:kern w:val="0"/>
                <w:sz w:val="20"/>
                <w:szCs w:val="20"/>
                <w:u w:val="none"/>
                <w:lang w:val="en-US" w:eastAsia="zh-CN" w:bidi="ar"/>
              </w:rPr>
              <w:br w:type="textWrapping"/>
            </w:r>
            <w:r>
              <w:rPr>
                <w:rFonts w:hint="eastAsia" w:ascii="宋体" w:hAnsi="宋体" w:eastAsia="宋体" w:cs="宋体"/>
                <w:b w:val="0"/>
                <w:bCs/>
                <w:i w:val="0"/>
                <w:color w:val="auto"/>
                <w:kern w:val="0"/>
                <w:sz w:val="20"/>
                <w:szCs w:val="20"/>
                <w:u w:val="none"/>
                <w:lang w:val="en-US" w:eastAsia="zh-CN" w:bidi="ar"/>
              </w:rPr>
              <w:t xml:space="preserve">   3.3）实施完成后需要进行消防检查合格验收。  </w:t>
            </w:r>
          </w:p>
        </w:tc>
        <w:tc>
          <w:tcPr>
            <w:tcW w:w="510" w:type="dxa"/>
            <w:tcBorders>
              <w:tl2br w:val="nil"/>
              <w:tr2bl w:val="nil"/>
            </w:tcBorders>
            <w:shd w:val="clear" w:color="000000"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套</w:t>
            </w:r>
          </w:p>
        </w:tc>
        <w:tc>
          <w:tcPr>
            <w:tcW w:w="581" w:type="dxa"/>
            <w:tcBorders>
              <w:tl2br w:val="nil"/>
              <w:tr2bl w:val="nil"/>
            </w:tcBorders>
            <w:shd w:val="clear" w:color="000000"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p>
        </w:tc>
      </w:tr>
      <w:bookmarkEnd w:id="0"/>
      <w:bookmarkEnd w:id="1"/>
    </w:tbl>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2" w:name="_Toc12739"/>
      <w:bookmarkStart w:id="3" w:name="_Toc1998389"/>
      <w:bookmarkStart w:id="4" w:name="_Toc35336975"/>
      <w:r>
        <w:rPr>
          <w:rFonts w:hint="eastAsia" w:ascii="黑体" w:hAnsi="黑体" w:eastAsia="黑体" w:cs="黑体"/>
          <w:color w:val="auto"/>
          <w:sz w:val="32"/>
          <w:szCs w:val="32"/>
          <w:lang w:val="en-US" w:eastAsia="zh-CN"/>
        </w:rPr>
        <w:t>售后服务服务</w:t>
      </w:r>
      <w:bookmarkEnd w:id="2"/>
      <w:bookmarkEnd w:id="3"/>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1、提供3年原厂商7*24小时维保服务（包括硬件更换、现版本更新等）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承诺在关键时候采购人可以要求协调原厂工程师到采购人现场进行技术支持，利用原厂丰富的技术资源帮助采购人快速准确的解决问题。关键时候包括采购人的业务运作问题、重大故障、重大变更、业务保障重要时期（比如两会期间等）。</w:t>
      </w:r>
    </w:p>
    <w:bookmarkEnd w:id="4"/>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服务报价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预算金额：本次项目的服务费为18.8万元，超过预算金额报价无效。</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确定成交供应商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若有多家供应商竞价，采购人将综合考虑供应商的服务质量、技术力量、采购信誉度、成功案例（需提供相关的证明材料）等方面进行择优选择，确定为成交供应商。</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790036"/>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ZTdmNDQ5YTM5ZmExZmYxMDExZmFjZjljYTNlZDgifQ=="/>
  </w:docVars>
  <w:rsids>
    <w:rsidRoot w:val="004A18B7"/>
    <w:rsid w:val="0001299D"/>
    <w:rsid w:val="00040051"/>
    <w:rsid w:val="000638CF"/>
    <w:rsid w:val="00086A4C"/>
    <w:rsid w:val="000872BE"/>
    <w:rsid w:val="00090474"/>
    <w:rsid w:val="000D66C9"/>
    <w:rsid w:val="000F4E98"/>
    <w:rsid w:val="0010279A"/>
    <w:rsid w:val="00124329"/>
    <w:rsid w:val="001438F9"/>
    <w:rsid w:val="00143A3B"/>
    <w:rsid w:val="00161DAE"/>
    <w:rsid w:val="00193A25"/>
    <w:rsid w:val="001A59F3"/>
    <w:rsid w:val="001E2828"/>
    <w:rsid w:val="00212C1A"/>
    <w:rsid w:val="00214968"/>
    <w:rsid w:val="002571B5"/>
    <w:rsid w:val="0026665E"/>
    <w:rsid w:val="002671CA"/>
    <w:rsid w:val="002A3EFC"/>
    <w:rsid w:val="002A6F68"/>
    <w:rsid w:val="002B253A"/>
    <w:rsid w:val="002B46F8"/>
    <w:rsid w:val="002C02A3"/>
    <w:rsid w:val="002C5959"/>
    <w:rsid w:val="002E5B80"/>
    <w:rsid w:val="002E7C07"/>
    <w:rsid w:val="00311C93"/>
    <w:rsid w:val="0031652D"/>
    <w:rsid w:val="003568DA"/>
    <w:rsid w:val="00357985"/>
    <w:rsid w:val="003760E3"/>
    <w:rsid w:val="00383B80"/>
    <w:rsid w:val="00384B58"/>
    <w:rsid w:val="00391B03"/>
    <w:rsid w:val="003977DB"/>
    <w:rsid w:val="003A2B5E"/>
    <w:rsid w:val="003C0B91"/>
    <w:rsid w:val="003C2DB6"/>
    <w:rsid w:val="003D1703"/>
    <w:rsid w:val="003D7C62"/>
    <w:rsid w:val="003F1E4E"/>
    <w:rsid w:val="00425196"/>
    <w:rsid w:val="00451010"/>
    <w:rsid w:val="004742BE"/>
    <w:rsid w:val="00480D91"/>
    <w:rsid w:val="00487C33"/>
    <w:rsid w:val="004A18B7"/>
    <w:rsid w:val="004C685D"/>
    <w:rsid w:val="004D3992"/>
    <w:rsid w:val="004E7214"/>
    <w:rsid w:val="00510E7F"/>
    <w:rsid w:val="00535097"/>
    <w:rsid w:val="005545EA"/>
    <w:rsid w:val="005C4C42"/>
    <w:rsid w:val="005E3092"/>
    <w:rsid w:val="005E3CC8"/>
    <w:rsid w:val="00641945"/>
    <w:rsid w:val="006724D1"/>
    <w:rsid w:val="006A308C"/>
    <w:rsid w:val="006B52F7"/>
    <w:rsid w:val="006E21BD"/>
    <w:rsid w:val="00706800"/>
    <w:rsid w:val="00712218"/>
    <w:rsid w:val="007223F4"/>
    <w:rsid w:val="00723D6B"/>
    <w:rsid w:val="00730ED7"/>
    <w:rsid w:val="00737361"/>
    <w:rsid w:val="00751997"/>
    <w:rsid w:val="007620D3"/>
    <w:rsid w:val="007D34F7"/>
    <w:rsid w:val="007D4BC6"/>
    <w:rsid w:val="007D52CF"/>
    <w:rsid w:val="007E6DF1"/>
    <w:rsid w:val="007F6290"/>
    <w:rsid w:val="0080439E"/>
    <w:rsid w:val="008359C8"/>
    <w:rsid w:val="00861BB4"/>
    <w:rsid w:val="00896F0C"/>
    <w:rsid w:val="008978E0"/>
    <w:rsid w:val="008D6AF5"/>
    <w:rsid w:val="008F2F6C"/>
    <w:rsid w:val="00937C14"/>
    <w:rsid w:val="00952DFF"/>
    <w:rsid w:val="00962B45"/>
    <w:rsid w:val="00964E46"/>
    <w:rsid w:val="0098630C"/>
    <w:rsid w:val="00993828"/>
    <w:rsid w:val="009A5B9E"/>
    <w:rsid w:val="009A6556"/>
    <w:rsid w:val="009C043B"/>
    <w:rsid w:val="009C4465"/>
    <w:rsid w:val="009F321C"/>
    <w:rsid w:val="00A2072E"/>
    <w:rsid w:val="00A313B2"/>
    <w:rsid w:val="00A36782"/>
    <w:rsid w:val="00A61C5E"/>
    <w:rsid w:val="00A8732E"/>
    <w:rsid w:val="00A92248"/>
    <w:rsid w:val="00AE2C51"/>
    <w:rsid w:val="00AE7309"/>
    <w:rsid w:val="00B175AD"/>
    <w:rsid w:val="00B36814"/>
    <w:rsid w:val="00B46E4C"/>
    <w:rsid w:val="00B5458C"/>
    <w:rsid w:val="00BB55C2"/>
    <w:rsid w:val="00BF2824"/>
    <w:rsid w:val="00C14FFD"/>
    <w:rsid w:val="00C81199"/>
    <w:rsid w:val="00C84B62"/>
    <w:rsid w:val="00CA1F69"/>
    <w:rsid w:val="00CE60D2"/>
    <w:rsid w:val="00CE7721"/>
    <w:rsid w:val="00D03E31"/>
    <w:rsid w:val="00D140D6"/>
    <w:rsid w:val="00D51F6F"/>
    <w:rsid w:val="00D75E7E"/>
    <w:rsid w:val="00D76E1B"/>
    <w:rsid w:val="00DC718E"/>
    <w:rsid w:val="00DD0E4A"/>
    <w:rsid w:val="00DE4B81"/>
    <w:rsid w:val="00E17225"/>
    <w:rsid w:val="00E31118"/>
    <w:rsid w:val="00E55D13"/>
    <w:rsid w:val="00E9137A"/>
    <w:rsid w:val="00EA6F1F"/>
    <w:rsid w:val="00EB173C"/>
    <w:rsid w:val="00F05162"/>
    <w:rsid w:val="00F33E74"/>
    <w:rsid w:val="00F57759"/>
    <w:rsid w:val="00F62BC6"/>
    <w:rsid w:val="00F64189"/>
    <w:rsid w:val="00F73205"/>
    <w:rsid w:val="00F82AA1"/>
    <w:rsid w:val="00FA17D7"/>
    <w:rsid w:val="00FB0F92"/>
    <w:rsid w:val="00FB531B"/>
    <w:rsid w:val="00FD13ED"/>
    <w:rsid w:val="00FD153A"/>
    <w:rsid w:val="00FD6EC5"/>
    <w:rsid w:val="00FE2D08"/>
    <w:rsid w:val="00FF27D9"/>
    <w:rsid w:val="025A276E"/>
    <w:rsid w:val="04650985"/>
    <w:rsid w:val="055858B8"/>
    <w:rsid w:val="071E18D4"/>
    <w:rsid w:val="0D9132F2"/>
    <w:rsid w:val="0D915AB0"/>
    <w:rsid w:val="129C1B55"/>
    <w:rsid w:val="136B26BC"/>
    <w:rsid w:val="13D1242B"/>
    <w:rsid w:val="14831CF5"/>
    <w:rsid w:val="1730441D"/>
    <w:rsid w:val="173A090D"/>
    <w:rsid w:val="1D4441A6"/>
    <w:rsid w:val="1E1638CC"/>
    <w:rsid w:val="1E9B4D71"/>
    <w:rsid w:val="1F3307E3"/>
    <w:rsid w:val="21E61C61"/>
    <w:rsid w:val="2314233B"/>
    <w:rsid w:val="2503431E"/>
    <w:rsid w:val="2FE40DD0"/>
    <w:rsid w:val="30377A7C"/>
    <w:rsid w:val="30A75991"/>
    <w:rsid w:val="366539C1"/>
    <w:rsid w:val="37E218BD"/>
    <w:rsid w:val="3930714C"/>
    <w:rsid w:val="3A236FBD"/>
    <w:rsid w:val="3B5A0818"/>
    <w:rsid w:val="3D763F52"/>
    <w:rsid w:val="3D833ED7"/>
    <w:rsid w:val="4577385A"/>
    <w:rsid w:val="483101A7"/>
    <w:rsid w:val="494C51D1"/>
    <w:rsid w:val="49C440A2"/>
    <w:rsid w:val="4B476F66"/>
    <w:rsid w:val="4C26263E"/>
    <w:rsid w:val="4C89644E"/>
    <w:rsid w:val="4D9B7ED9"/>
    <w:rsid w:val="4DC12294"/>
    <w:rsid w:val="50EE371E"/>
    <w:rsid w:val="51706E01"/>
    <w:rsid w:val="53C553A1"/>
    <w:rsid w:val="548879F1"/>
    <w:rsid w:val="567018F9"/>
    <w:rsid w:val="57DD1B1F"/>
    <w:rsid w:val="59375010"/>
    <w:rsid w:val="5BE5079C"/>
    <w:rsid w:val="60DF5C06"/>
    <w:rsid w:val="62684AA3"/>
    <w:rsid w:val="632F30B1"/>
    <w:rsid w:val="74505C1F"/>
    <w:rsid w:val="786943D9"/>
    <w:rsid w:val="78B954A7"/>
    <w:rsid w:val="79616807"/>
    <w:rsid w:val="79EC59DF"/>
    <w:rsid w:val="7D896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宋体" w:hAnsi="宋体" w:eastAsiaTheme="minorEastAsia" w:cstheme="minorBidi"/>
    </w:rPr>
  </w:style>
  <w:style w:type="paragraph" w:styleId="6">
    <w:name w:val="Body Text First Indent"/>
    <w:basedOn w:val="2"/>
    <w:link w:val="21"/>
    <w:unhideWhenUsed/>
    <w:qFormat/>
    <w:uiPriority w:val="99"/>
    <w:pPr>
      <w:ind w:firstLine="420" w:firstLineChars="100"/>
    </w:pPr>
    <w:rPr>
      <w:rFonts w:ascii="Calibri" w:hAnsi="Calibri"/>
      <w:szCs w:val="22"/>
    </w:rPr>
  </w:style>
  <w:style w:type="paragraph" w:styleId="7">
    <w:name w:val="Document Map"/>
    <w:basedOn w:val="1"/>
    <w:link w:val="26"/>
    <w:unhideWhenUsed/>
    <w:qFormat/>
    <w:uiPriority w:val="99"/>
    <w:rPr>
      <w:rFonts w:ascii="宋体"/>
      <w:sz w:val="18"/>
      <w:szCs w:val="18"/>
    </w:rPr>
  </w:style>
  <w:style w:type="paragraph" w:styleId="8">
    <w:name w:val="Balloon Text"/>
    <w:basedOn w:val="1"/>
    <w:link w:val="28"/>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000FF"/>
      <w:u w:val="single"/>
    </w:rPr>
  </w:style>
  <w:style w:type="character" w:customStyle="1" w:styleId="14">
    <w:name w:val="页眉 Char"/>
    <w:basedOn w:val="11"/>
    <w:link w:val="10"/>
    <w:semiHidden/>
    <w:qFormat/>
    <w:uiPriority w:val="99"/>
    <w:rPr>
      <w:sz w:val="18"/>
      <w:szCs w:val="18"/>
    </w:rPr>
  </w:style>
  <w:style w:type="character" w:customStyle="1" w:styleId="15">
    <w:name w:val="页脚 Char"/>
    <w:basedOn w:val="11"/>
    <w:link w:val="9"/>
    <w:qFormat/>
    <w:uiPriority w:val="99"/>
    <w:rPr>
      <w:sz w:val="18"/>
      <w:szCs w:val="18"/>
    </w:rPr>
  </w:style>
  <w:style w:type="character" w:customStyle="1" w:styleId="16">
    <w:name w:val="标题 1 Char"/>
    <w:basedOn w:val="11"/>
    <w:link w:val="3"/>
    <w:qFormat/>
    <w:uiPriority w:val="0"/>
    <w:rPr>
      <w:rFonts w:ascii="Times New Roman" w:hAnsi="Times New Roman" w:eastAsia="宋体" w:cs="Times New Roman"/>
      <w:b/>
      <w:bCs/>
      <w:kern w:val="44"/>
      <w:sz w:val="44"/>
      <w:szCs w:val="44"/>
    </w:rPr>
  </w:style>
  <w:style w:type="character" w:customStyle="1" w:styleId="17">
    <w:name w:val="标题 2 Char"/>
    <w:basedOn w:val="11"/>
    <w:link w:val="4"/>
    <w:qFormat/>
    <w:uiPriority w:val="0"/>
    <w:rPr>
      <w:rFonts w:ascii="Arial" w:hAnsi="Arial" w:eastAsia="宋体" w:cs="Times New Roman"/>
      <w:b/>
      <w:bCs/>
      <w:sz w:val="24"/>
      <w:szCs w:val="32"/>
    </w:rPr>
  </w:style>
  <w:style w:type="character" w:customStyle="1" w:styleId="18">
    <w:name w:val="标题 3 Char"/>
    <w:basedOn w:val="11"/>
    <w:link w:val="5"/>
    <w:qFormat/>
    <w:uiPriority w:val="0"/>
    <w:rPr>
      <w:rFonts w:ascii="Times New Roman" w:hAnsi="Times New Roman" w:eastAsia="宋体" w:cs="Times New Roman"/>
      <w:b/>
      <w:bCs/>
      <w:sz w:val="32"/>
      <w:szCs w:val="32"/>
    </w:rPr>
  </w:style>
  <w:style w:type="character" w:customStyle="1" w:styleId="19">
    <w:name w:val="正文文本 Char"/>
    <w:basedOn w:val="11"/>
    <w:qFormat/>
    <w:uiPriority w:val="0"/>
    <w:rPr>
      <w:rFonts w:ascii="宋体" w:hAnsi="宋体"/>
      <w:szCs w:val="24"/>
    </w:rPr>
  </w:style>
  <w:style w:type="character" w:customStyle="1" w:styleId="20">
    <w:name w:val="正文文本 Char1"/>
    <w:basedOn w:val="11"/>
    <w:link w:val="2"/>
    <w:semiHidden/>
    <w:qFormat/>
    <w:uiPriority w:val="99"/>
    <w:rPr>
      <w:rFonts w:ascii="Times New Roman" w:hAnsi="Times New Roman" w:eastAsia="宋体" w:cs="Times New Roman"/>
      <w:szCs w:val="24"/>
    </w:rPr>
  </w:style>
  <w:style w:type="character" w:customStyle="1" w:styleId="21">
    <w:name w:val="正文首行缩进 Char"/>
    <w:basedOn w:val="20"/>
    <w:link w:val="6"/>
    <w:qFormat/>
    <w:uiPriority w:val="99"/>
    <w:rPr>
      <w:rFonts w:ascii="Calibri" w:hAnsi="Calibri" w:eastAsia="宋体" w:cs="Times New Roman"/>
      <w:szCs w:val="24"/>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表格正文"/>
    <w:basedOn w:val="1"/>
    <w:link w:val="24"/>
    <w:qFormat/>
    <w:uiPriority w:val="0"/>
    <w:rPr>
      <w:rFonts w:eastAsia="黑体"/>
      <w:sz w:val="20"/>
      <w:szCs w:val="20"/>
    </w:rPr>
  </w:style>
  <w:style w:type="character" w:customStyle="1" w:styleId="24">
    <w:name w:val="表格正文 Char"/>
    <w:link w:val="23"/>
    <w:qFormat/>
    <w:locked/>
    <w:uiPriority w:val="0"/>
    <w:rPr>
      <w:rFonts w:ascii="Times New Roman" w:hAnsi="Times New Roman" w:eastAsia="黑体" w:cs="Times New Roman"/>
      <w:sz w:val="20"/>
      <w:szCs w:val="20"/>
    </w:rPr>
  </w:style>
  <w:style w:type="paragraph" w:customStyle="1" w:styleId="25">
    <w:name w:val="表头"/>
    <w:basedOn w:val="23"/>
    <w:qFormat/>
    <w:uiPriority w:val="0"/>
    <w:pPr>
      <w:jc w:val="center"/>
    </w:pPr>
    <w:rPr>
      <w:b/>
      <w:bCs/>
    </w:rPr>
  </w:style>
  <w:style w:type="character" w:customStyle="1" w:styleId="26">
    <w:name w:val="文档结构图 Char"/>
    <w:basedOn w:val="11"/>
    <w:link w:val="7"/>
    <w:semiHidden/>
    <w:qFormat/>
    <w:uiPriority w:val="99"/>
    <w:rPr>
      <w:rFonts w:ascii="宋体" w:hAnsi="Times New Roman" w:eastAsia="宋体" w:cs="Times New Roman"/>
      <w:sz w:val="18"/>
      <w:szCs w:val="18"/>
    </w:rPr>
  </w:style>
  <w:style w:type="paragraph" w:customStyle="1" w:styleId="27">
    <w:name w:val="列出段落2"/>
    <w:basedOn w:val="1"/>
    <w:unhideWhenUsed/>
    <w:qFormat/>
    <w:uiPriority w:val="99"/>
    <w:pPr>
      <w:ind w:firstLine="420" w:firstLineChars="200"/>
    </w:pPr>
  </w:style>
  <w:style w:type="character" w:customStyle="1" w:styleId="28">
    <w:name w:val="批注框文本 Char"/>
    <w:basedOn w:val="11"/>
    <w:link w:val="8"/>
    <w:semiHidden/>
    <w:qFormat/>
    <w:uiPriority w:val="99"/>
    <w:rPr>
      <w:rFonts w:ascii="Times New Roman" w:hAnsi="Times New Roman" w:eastAsia="宋体" w:cs="Times New Roman"/>
      <w:kern w:val="2"/>
      <w:sz w:val="18"/>
      <w:szCs w:val="18"/>
    </w:rPr>
  </w:style>
  <w:style w:type="paragraph" w:customStyle="1" w:styleId="29">
    <w:name w:val="段落"/>
    <w:basedOn w:val="1"/>
    <w:link w:val="30"/>
    <w:qFormat/>
    <w:uiPriority w:val="0"/>
    <w:pPr>
      <w:widowControl/>
      <w:spacing w:afterLines="50" w:line="360" w:lineRule="auto"/>
      <w:ind w:firstLine="200" w:firstLineChars="200"/>
      <w:jc w:val="left"/>
    </w:pPr>
    <w:rPr>
      <w:rFonts w:ascii="宋体" w:hAnsi="Calibri"/>
      <w:kern w:val="0"/>
      <w:sz w:val="28"/>
      <w:szCs w:val="28"/>
      <w:shd w:val="clear" w:color="auto" w:fill="FFFFFF"/>
    </w:rPr>
  </w:style>
  <w:style w:type="character" w:customStyle="1" w:styleId="30">
    <w:name w:val="段落 Char"/>
    <w:link w:val="29"/>
    <w:qFormat/>
    <w:locked/>
    <w:uiPriority w:val="0"/>
    <w:rPr>
      <w:rFonts w:ascii="宋体" w:hAnsi="Calibri" w:eastAsia="宋体" w:cs="Times New Roman"/>
      <w:sz w:val="28"/>
      <w:szCs w:val="28"/>
    </w:rPr>
  </w:style>
  <w:style w:type="paragraph" w:customStyle="1" w:styleId="31">
    <w:name w:val="_Style 12"/>
    <w:basedOn w:val="1"/>
    <w:qFormat/>
    <w:uiPriority w:val="0"/>
    <w:pPr>
      <w:widowControl/>
      <w:spacing w:after="160" w:line="240" w:lineRule="exact"/>
      <w:jc w:val="left"/>
    </w:pPr>
    <w:rPr>
      <w:rFonts w:ascii="Calibri" w:hAnsi="Calibri"/>
      <w:szCs w:val="20"/>
    </w:rPr>
  </w:style>
  <w:style w:type="paragraph" w:styleId="32">
    <w:name w:val="List Paragraph"/>
    <w:basedOn w:val="1"/>
    <w:qFormat/>
    <w:uiPriority w:val="99"/>
    <w:pPr>
      <w:ind w:firstLine="420" w:firstLineChars="200"/>
    </w:pPr>
  </w:style>
  <w:style w:type="paragraph" w:customStyle="1" w:styleId="33">
    <w:name w:val="Body text|1"/>
    <w:basedOn w:val="1"/>
    <w:qFormat/>
    <w:uiPriority w:val="0"/>
    <w:pPr>
      <w:spacing w:line="442" w:lineRule="auto"/>
      <w:ind w:firstLine="400"/>
      <w:jc w:val="left"/>
    </w:pPr>
    <w:rPr>
      <w:rFonts w:ascii="宋体" w:hAnsi="宋体" w:eastAsia="宋体" w:cs="宋体"/>
      <w:color w:val="000000"/>
      <w:sz w:val="28"/>
      <w:szCs w:val="28"/>
      <w:lang w:val="zh-TW" w:eastAsia="zh-TW" w:bidi="zh-TW"/>
    </w:rPr>
  </w:style>
  <w:style w:type="character" w:customStyle="1" w:styleId="34">
    <w:name w:val="font51"/>
    <w:basedOn w:val="11"/>
    <w:uiPriority w:val="0"/>
    <w:rPr>
      <w:rFonts w:hint="eastAsia" w:ascii="宋体" w:hAnsi="宋体" w:eastAsia="宋体" w:cs="宋体"/>
      <w:color w:val="000000"/>
      <w:sz w:val="20"/>
      <w:szCs w:val="20"/>
      <w:u w:val="none"/>
    </w:rPr>
  </w:style>
  <w:style w:type="character" w:customStyle="1" w:styleId="35">
    <w:name w:val="font61"/>
    <w:basedOn w:val="11"/>
    <w:uiPriority w:val="0"/>
    <w:rPr>
      <w:rFonts w:hint="eastAsia" w:ascii="宋体" w:hAnsi="宋体" w:eastAsia="宋体" w:cs="宋体"/>
      <w:color w:val="FF0000"/>
      <w:sz w:val="20"/>
      <w:szCs w:val="20"/>
      <w:u w:val="none"/>
    </w:rPr>
  </w:style>
  <w:style w:type="character" w:customStyle="1" w:styleId="36">
    <w:name w:val="font81"/>
    <w:basedOn w:val="11"/>
    <w:uiPriority w:val="0"/>
    <w:rPr>
      <w:rFonts w:hint="eastAsia" w:ascii="宋体" w:hAnsi="宋体" w:eastAsia="宋体" w:cs="宋体"/>
      <w:color w:val="auto"/>
      <w:sz w:val="16"/>
      <w:szCs w:val="16"/>
      <w:u w:val="none"/>
    </w:rPr>
  </w:style>
  <w:style w:type="character" w:customStyle="1" w:styleId="37">
    <w:name w:val="font71"/>
    <w:basedOn w:val="11"/>
    <w:uiPriority w:val="0"/>
    <w:rPr>
      <w:rFonts w:hint="eastAsia" w:ascii="宋体" w:hAnsi="宋体" w:eastAsia="宋体" w:cs="宋体"/>
      <w:color w:val="FF0000"/>
      <w:sz w:val="16"/>
      <w:szCs w:val="16"/>
      <w:u w:val="none"/>
    </w:rPr>
  </w:style>
  <w:style w:type="character" w:customStyle="1" w:styleId="38">
    <w:name w:val="font91"/>
    <w:basedOn w:val="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75FF6-3496-4511-8B8F-E29DB40DF9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3216</Words>
  <Characters>3257</Characters>
  <Lines>51</Lines>
  <Paragraphs>14</Paragraphs>
  <TotalTime>5</TotalTime>
  <ScaleCrop>false</ScaleCrop>
  <LinksUpToDate>false</LinksUpToDate>
  <CharactersWithSpaces>3257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2020-06-22T02:22:00Z</dcterms:created>
  <dc:creator>微软用户</dc:creator>
  <cp:lastModifiedBy>Administrator</cp:lastModifiedBy>
  <cp:lastPrinted>2017-06-02T07:53:00Z</cp:lastPrinted>
  <dcterms:modified xsi:type="dcterms:W3CDTF">2022-11-09T03:40:24Z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2661B9F60ED941CB9FB4C9D8847E7754</vt:lpwstr>
  </property>
  <property fmtid="{D5CDD505-2E9C-101B-9397-08002B2CF9AE}" pid="4" name="ribbonExt">
    <vt:lpwstr>{"WPSExtOfficeTab":{"OnGetEnabled":false,"OnGetVisible":false}}</vt:lpwstr>
  </property>
</Properties>
</file>