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开平市政务信息化服务项目管理系统</w:t>
      </w:r>
    </w:p>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维护服务项目采购需求</w:t>
      </w:r>
    </w:p>
    <w:p>
      <w:pPr>
        <w:pStyle w:val="2"/>
        <w:rPr>
          <w:rFonts w:hint="eastAsia"/>
          <w:lang w:val="en-US" w:eastAsia="zh-CN"/>
        </w:rPr>
      </w:pP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项目概述</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开平市政务信息化服务项目管理系统目前稳定运行中,该</w:t>
      </w:r>
      <w:r>
        <w:rPr>
          <w:rFonts w:hint="eastAsia" w:ascii="仿宋" w:hAnsi="仿宋" w:eastAsia="仿宋" w:cs="仿宋"/>
          <w:color w:val="auto"/>
          <w:sz w:val="32"/>
          <w:szCs w:val="32"/>
          <w:lang w:val="en-US" w:eastAsia="zh-CN"/>
        </w:rPr>
        <w:t>系统的</w:t>
      </w:r>
      <w:r>
        <w:rPr>
          <w:rFonts w:hint="eastAsia" w:ascii="仿宋" w:hAnsi="仿宋" w:eastAsia="仿宋" w:cs="仿宋"/>
          <w:color w:val="auto"/>
          <w:sz w:val="32"/>
          <w:szCs w:val="32"/>
        </w:rPr>
        <w:t>维护服务将在</w:t>
      </w:r>
      <w:r>
        <w:rPr>
          <w:rFonts w:hint="eastAsia" w:ascii="仿宋" w:hAnsi="仿宋" w:eastAsia="仿宋" w:cs="仿宋"/>
          <w:color w:val="auto"/>
          <w:sz w:val="32"/>
          <w:szCs w:val="32"/>
          <w:lang w:val="en-US" w:eastAsia="zh-CN"/>
        </w:rPr>
        <w:t>2022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30日</w:t>
      </w:r>
      <w:r>
        <w:rPr>
          <w:rFonts w:hint="eastAsia" w:ascii="仿宋" w:hAnsi="仿宋" w:eastAsia="仿宋" w:cs="仿宋"/>
          <w:color w:val="auto"/>
          <w:sz w:val="32"/>
          <w:szCs w:val="32"/>
        </w:rPr>
        <w:t>到期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该</w:t>
      </w:r>
      <w:r>
        <w:rPr>
          <w:rFonts w:hint="eastAsia" w:ascii="仿宋" w:hAnsi="仿宋" w:eastAsia="仿宋" w:cs="仿宋"/>
          <w:color w:val="auto"/>
          <w:sz w:val="32"/>
          <w:szCs w:val="32"/>
        </w:rPr>
        <w:t>系统实现从项目申报、立项、报审、建设、验收等重要环节实施全生命周期闭环管理，实现政务信息化项目“可管、可控、可用”，有效提高财政资金的使用效率和政务信息化项目管理水平。为了更好保障系统安全、稳定地运行，进一步提升用户体验和提高系统运行效率，须对系统续买维护服务。</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zh-CN"/>
        </w:rPr>
        <w:t>项目</w:t>
      </w:r>
      <w:r>
        <w:rPr>
          <w:rFonts w:hint="eastAsia" w:ascii="黑体" w:hAnsi="黑体" w:eastAsia="黑体" w:cs="黑体"/>
          <w:color w:val="auto"/>
          <w:sz w:val="32"/>
          <w:szCs w:val="32"/>
        </w:rPr>
        <w:t>维护范围</w:t>
      </w:r>
    </w:p>
    <w:tbl>
      <w:tblPr>
        <w:tblStyle w:val="10"/>
        <w:tblW w:w="835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2830" w:type="dxa"/>
            <w:gridSpan w:val="2"/>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系统功能模块</w:t>
            </w:r>
          </w:p>
        </w:tc>
        <w:tc>
          <w:tcPr>
            <w:tcW w:w="5529"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4" w:hRule="atLeast"/>
        </w:trPr>
        <w:tc>
          <w:tcPr>
            <w:tcW w:w="1129" w:type="dxa"/>
            <w:vMerge w:val="restart"/>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项目管理</w:t>
            </w: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项目总览</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对信息化项目进行统筹管理，实现项目综合信息总览，完整展现具体项目的全生命周期信息。总览的信息包括项目申报、方案审核、招标备案、合同备案、项目进度、项目拨付、项目验收等。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0" w:hRule="atLeast"/>
        </w:trPr>
        <w:tc>
          <w:tcPr>
            <w:tcW w:w="1129" w:type="dxa"/>
            <w:vMerge w:val="continue"/>
            <w:tcBorders>
              <w:tl2br w:val="nil"/>
              <w:tr2bl w:val="nil"/>
            </w:tcBorders>
            <w:vAlign w:val="center"/>
          </w:tcPr>
          <w:p>
            <w:pPr>
              <w:widowControl/>
              <w:jc w:val="left"/>
              <w:rPr>
                <w:rFonts w:ascii="仿宋" w:hAnsi="仿宋" w:eastAsia="仿宋" w:cs="宋体"/>
                <w:b/>
                <w:bCs/>
                <w:color w:val="000000"/>
                <w:kern w:val="0"/>
                <w:sz w:val="24"/>
                <w:szCs w:val="24"/>
              </w:rPr>
            </w:pP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项目申报</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申报单位对本部门明年项目预算进行申请操作，填写相关项目的填报内容信息，确认无误后提交由审核人员审核即可。</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根据不同项目选择项目现状：新建或运维，或不同项目类型申报，主要分为新建项目、延续项目、依合同支付项目和其他，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trPr>
        <w:tc>
          <w:tcPr>
            <w:tcW w:w="1129" w:type="dxa"/>
            <w:vMerge w:val="continue"/>
            <w:tcBorders>
              <w:tl2br w:val="nil"/>
              <w:tr2bl w:val="nil"/>
            </w:tcBorders>
            <w:vAlign w:val="center"/>
          </w:tcPr>
          <w:p>
            <w:pPr>
              <w:widowControl/>
              <w:jc w:val="left"/>
              <w:rPr>
                <w:rFonts w:ascii="仿宋" w:hAnsi="仿宋" w:eastAsia="仿宋" w:cs="宋体"/>
                <w:b/>
                <w:bCs/>
                <w:color w:val="000000"/>
                <w:kern w:val="0"/>
                <w:sz w:val="24"/>
                <w:szCs w:val="24"/>
              </w:rPr>
            </w:pP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待申报项目</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对填报的项目信息进行暂时保存，可对保存的待申报项目进行数据修改后重新进行项目申报。对待申报中的项目可进行项目信息修改和删除待申报项目信息。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1129" w:type="dxa"/>
            <w:vMerge w:val="continue"/>
            <w:tcBorders>
              <w:tl2br w:val="nil"/>
              <w:tr2bl w:val="nil"/>
            </w:tcBorders>
            <w:vAlign w:val="center"/>
          </w:tcPr>
          <w:p>
            <w:pPr>
              <w:widowControl/>
              <w:jc w:val="left"/>
              <w:rPr>
                <w:rFonts w:ascii="仿宋" w:hAnsi="仿宋" w:eastAsia="仿宋" w:cs="宋体"/>
                <w:b/>
                <w:bCs/>
                <w:color w:val="000000"/>
                <w:kern w:val="0"/>
                <w:sz w:val="24"/>
                <w:szCs w:val="24"/>
              </w:rPr>
            </w:pP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已申报项目</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对本单位已经申报过的项目进行留痕记录，供单位人员进行查阅相关项目资料、联系人审核过程等。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1129" w:type="dxa"/>
            <w:vMerge w:val="continue"/>
            <w:tcBorders>
              <w:tl2br w:val="nil"/>
              <w:tr2bl w:val="nil"/>
            </w:tcBorders>
            <w:vAlign w:val="center"/>
          </w:tcPr>
          <w:p>
            <w:pPr>
              <w:widowControl/>
              <w:jc w:val="left"/>
              <w:rPr>
                <w:rFonts w:ascii="仿宋" w:hAnsi="仿宋" w:eastAsia="仿宋" w:cs="宋体"/>
                <w:b/>
                <w:bCs/>
                <w:color w:val="000000"/>
                <w:kern w:val="0"/>
                <w:sz w:val="24"/>
                <w:szCs w:val="24"/>
              </w:rPr>
            </w:pP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回收站</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对本单位已经申报过的项目进行留痕记录，供单位人员进行查阅相关项目资料、联系人审核过程等。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1129" w:type="dxa"/>
            <w:vMerge w:val="continue"/>
            <w:tcBorders>
              <w:tl2br w:val="nil"/>
              <w:tr2bl w:val="nil"/>
            </w:tcBorders>
            <w:vAlign w:val="center"/>
          </w:tcPr>
          <w:p>
            <w:pPr>
              <w:widowControl/>
              <w:jc w:val="left"/>
              <w:rPr>
                <w:rFonts w:ascii="仿宋" w:hAnsi="仿宋" w:eastAsia="仿宋" w:cs="宋体"/>
                <w:b/>
                <w:bCs/>
                <w:color w:val="000000"/>
                <w:kern w:val="0"/>
                <w:sz w:val="24"/>
                <w:szCs w:val="24"/>
              </w:rPr>
            </w:pP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项目调整</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当项目资金出现变化时，可以进行项目调整操作。系统对资金的调出和调入进行对比计算，最后对项目资金调整信息进行记录跟踪。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0" w:hRule="atLeast"/>
        </w:trPr>
        <w:tc>
          <w:tcPr>
            <w:tcW w:w="1129" w:type="dxa"/>
            <w:vMerge w:val="continue"/>
            <w:tcBorders>
              <w:tl2br w:val="nil"/>
              <w:tr2bl w:val="nil"/>
            </w:tcBorders>
            <w:vAlign w:val="center"/>
          </w:tcPr>
          <w:p>
            <w:pPr>
              <w:widowControl/>
              <w:jc w:val="left"/>
              <w:rPr>
                <w:rFonts w:ascii="仿宋" w:hAnsi="仿宋" w:eastAsia="仿宋" w:cs="宋体"/>
                <w:b/>
                <w:bCs/>
                <w:color w:val="000000"/>
                <w:kern w:val="0"/>
                <w:sz w:val="24"/>
                <w:szCs w:val="24"/>
              </w:rPr>
            </w:pP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项目变更申请</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实现项目变更在线申报，填报的内容包括变更内容、变更原因基本信息以及附件材料。政府单位选择项目变更申报填报，在线填写相关信息表单和附件信息，跟随业务流程进行数据流转，为审批部门的审核提供资料依据。根据要求定制申报表单及申报流程，提供编辑、提交等功能。可实现部分填报内容无变化信息除第一次需填写外，系统自动关联变更项目，无需重复填报项目基础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7" w:hRule="atLeast"/>
        </w:trPr>
        <w:tc>
          <w:tcPr>
            <w:tcW w:w="1129" w:type="dxa"/>
            <w:vMerge w:val="restart"/>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项目申报审核</w:t>
            </w: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申报项目审核</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可以根据人员安排进行审核步骤设定，对项目申报信息进行审核，若项目申报信息不完整或需补充材料，可退回申报单位，也可直接修改项目申报信息，完善项目申报信息内容。项目申报审核通过后，列入信息化项目年度需求计划。用户可以对事务信息进行查看，但不能进行编辑、修改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0" w:hRule="atLeast"/>
        </w:trPr>
        <w:tc>
          <w:tcPr>
            <w:tcW w:w="1129" w:type="dxa"/>
            <w:vMerge w:val="continue"/>
            <w:tcBorders>
              <w:tl2br w:val="nil"/>
              <w:tr2bl w:val="nil"/>
            </w:tcBorders>
            <w:vAlign w:val="center"/>
          </w:tcPr>
          <w:p>
            <w:pPr>
              <w:widowControl/>
              <w:jc w:val="left"/>
              <w:rPr>
                <w:rFonts w:ascii="仿宋" w:hAnsi="仿宋" w:eastAsia="仿宋" w:cs="宋体"/>
                <w:b/>
                <w:bCs/>
                <w:color w:val="000000"/>
                <w:kern w:val="0"/>
                <w:sz w:val="24"/>
                <w:szCs w:val="24"/>
              </w:rPr>
            </w:pP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已审核申报项目</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系统支持查看已审核的申报项目，查看已办事务显示当前用户办理完成且流程已经流转完毕的事务。用户可以对事务申报信息、附件、审核流程等信息进行查看，但不能进行编辑、修改等操作。用户主要查看事务基本信息和流转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4" w:hRule="atLeast"/>
        </w:trPr>
        <w:tc>
          <w:tcPr>
            <w:tcW w:w="1129" w:type="dxa"/>
            <w:vMerge w:val="continue"/>
            <w:tcBorders>
              <w:tl2br w:val="nil"/>
              <w:tr2bl w:val="nil"/>
            </w:tcBorders>
            <w:vAlign w:val="center"/>
          </w:tcPr>
          <w:p>
            <w:pPr>
              <w:widowControl/>
              <w:jc w:val="left"/>
              <w:rPr>
                <w:rFonts w:ascii="仿宋" w:hAnsi="仿宋" w:eastAsia="仿宋" w:cs="宋体"/>
                <w:b/>
                <w:bCs/>
                <w:color w:val="000000"/>
                <w:kern w:val="0"/>
                <w:sz w:val="24"/>
                <w:szCs w:val="24"/>
              </w:rPr>
            </w:pP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项目申报汇总</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进入【项目汇总管理】可以查看到已经初审的项目，可通过字段“项目编号”、“项目名称”、“申请单位”、“建设状态”或“资金渠道”进行筛选查看，执行右上方的【导出】，把项目以EXCLE表形式进行导出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129" w:type="dxa"/>
            <w:vMerge w:val="continue"/>
            <w:tcBorders>
              <w:tl2br w:val="nil"/>
              <w:tr2bl w:val="nil"/>
            </w:tcBorders>
            <w:vAlign w:val="center"/>
          </w:tcPr>
          <w:p>
            <w:pPr>
              <w:widowControl/>
              <w:jc w:val="left"/>
              <w:rPr>
                <w:rFonts w:ascii="仿宋" w:hAnsi="仿宋" w:eastAsia="仿宋" w:cs="宋体"/>
                <w:b/>
                <w:bCs/>
                <w:color w:val="000000"/>
                <w:kern w:val="0"/>
                <w:sz w:val="24"/>
                <w:szCs w:val="24"/>
              </w:rPr>
            </w:pP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项目变更申请审核</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当申报项目信息出现变化时，政府单位在线提交变更申请。审核部门可以根据人员安排进行审核步骤设定，对项目变更申报信息进行审核，若项目申报信息不完整或需补充材料，可退回申报单位进行再次修改。项目申报审核通过后，用户可以对事务信息进行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6" w:hRule="atLeast"/>
        </w:trPr>
        <w:tc>
          <w:tcPr>
            <w:tcW w:w="1129" w:type="dxa"/>
            <w:vMerge w:val="continue"/>
            <w:tcBorders>
              <w:tl2br w:val="nil"/>
              <w:tr2bl w:val="nil"/>
            </w:tcBorders>
            <w:vAlign w:val="center"/>
          </w:tcPr>
          <w:p>
            <w:pPr>
              <w:widowControl/>
              <w:jc w:val="left"/>
              <w:rPr>
                <w:rFonts w:ascii="仿宋" w:hAnsi="仿宋" w:eastAsia="仿宋" w:cs="宋体"/>
                <w:b/>
                <w:bCs/>
                <w:color w:val="000000"/>
                <w:kern w:val="0"/>
                <w:sz w:val="24"/>
                <w:szCs w:val="24"/>
              </w:rPr>
            </w:pP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项目变更申报已审核</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审核后的变更事项进行记录归档，可以在“项目变更申报已审核”进行变更信息查看和审核过程核查，支持历史审核事项核查。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129"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方案编制管理</w:t>
            </w: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方案编制</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申报单位对本部门申报项目预算需做详细的方案建设内容、如预算金额过大需做第三方技术评审和造价评估也需在系统上进行留痕和上传相关依据。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129" w:type="dxa"/>
            <w:vMerge w:val="restart"/>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方案审核</w:t>
            </w: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项目方案审核</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市政数局根据方案的完整性、必要性、可行性、合理性、安全性、资金情况等进行审核，方案变更审核等。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129" w:type="dxa"/>
            <w:vMerge w:val="continue"/>
            <w:tcBorders>
              <w:tl2br w:val="nil"/>
              <w:tr2bl w:val="nil"/>
            </w:tcBorders>
            <w:vAlign w:val="center"/>
          </w:tcPr>
          <w:p>
            <w:pPr>
              <w:widowControl/>
              <w:jc w:val="left"/>
              <w:rPr>
                <w:rFonts w:ascii="仿宋" w:hAnsi="仿宋" w:eastAsia="仿宋" w:cs="宋体"/>
                <w:b/>
                <w:bCs/>
                <w:color w:val="000000"/>
                <w:kern w:val="0"/>
                <w:sz w:val="24"/>
                <w:szCs w:val="24"/>
              </w:rPr>
            </w:pPr>
          </w:p>
        </w:tc>
        <w:tc>
          <w:tcPr>
            <w:tcW w:w="1701" w:type="dxa"/>
            <w:tcBorders>
              <w:tl2br w:val="nil"/>
              <w:tr2bl w:val="nil"/>
            </w:tcBorders>
            <w:shd w:val="clear" w:color="auto" w:fill="auto"/>
            <w:vAlign w:val="center"/>
          </w:tcPr>
          <w:p>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第三方技术</w:t>
            </w:r>
          </w:p>
          <w:p>
            <w:pPr>
              <w:widowControl/>
              <w:jc w:val="center"/>
              <w:rPr>
                <w:rFonts w:ascii="仿宋" w:hAnsi="仿宋" w:eastAsia="仿宋" w:cs="宋体"/>
                <w:b/>
                <w:bCs/>
                <w:color w:val="000000"/>
                <w:kern w:val="0"/>
                <w:sz w:val="24"/>
                <w:szCs w:val="24"/>
              </w:rPr>
            </w:pPr>
            <w:bookmarkStart w:id="0" w:name="_GoBack"/>
            <w:bookmarkEnd w:id="0"/>
            <w:r>
              <w:rPr>
                <w:rFonts w:hint="eastAsia" w:ascii="仿宋" w:hAnsi="仿宋" w:eastAsia="仿宋" w:cs="宋体"/>
                <w:b/>
                <w:bCs/>
                <w:color w:val="000000"/>
                <w:kern w:val="0"/>
                <w:sz w:val="24"/>
                <w:szCs w:val="24"/>
              </w:rPr>
              <w:t>评审</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项目方案如需技术评审，市政数局将把项目转发给项目评审公司，由评审公司对建设方案的必要性、可行性及项目投资的合理性进行评审，并给出专家组评审意见。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129" w:type="dxa"/>
            <w:vMerge w:val="continue"/>
            <w:tcBorders>
              <w:tl2br w:val="nil"/>
              <w:tr2bl w:val="nil"/>
            </w:tcBorders>
            <w:vAlign w:val="center"/>
          </w:tcPr>
          <w:p>
            <w:pPr>
              <w:widowControl/>
              <w:jc w:val="left"/>
              <w:rPr>
                <w:rFonts w:ascii="仿宋" w:hAnsi="仿宋" w:eastAsia="仿宋" w:cs="宋体"/>
                <w:b/>
                <w:bCs/>
                <w:color w:val="000000"/>
                <w:kern w:val="0"/>
                <w:sz w:val="24"/>
                <w:szCs w:val="24"/>
              </w:rPr>
            </w:pP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第三方造价评估</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项目方案如需造价评估，市政数局将把项目转发给项目造价评估公司，由造价评估公司对建设项目进行造价评估，并给出造价评估金额。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1129" w:type="dxa"/>
            <w:vMerge w:val="continue"/>
            <w:tcBorders>
              <w:tl2br w:val="nil"/>
              <w:tr2bl w:val="nil"/>
            </w:tcBorders>
            <w:vAlign w:val="center"/>
          </w:tcPr>
          <w:p>
            <w:pPr>
              <w:widowControl/>
              <w:jc w:val="left"/>
              <w:rPr>
                <w:rFonts w:ascii="仿宋" w:hAnsi="仿宋" w:eastAsia="仿宋" w:cs="宋体"/>
                <w:b/>
                <w:bCs/>
                <w:color w:val="000000"/>
                <w:kern w:val="0"/>
                <w:sz w:val="24"/>
                <w:szCs w:val="24"/>
              </w:rPr>
            </w:pP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专家论证</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根据管理办法要求，当项目金额大于等于100万，项目方案需要造价评估、技术评审和专家论证，专家论证完毕后，市政数局将把项目专家论证最终结果信息填写和上传到系统进行备案。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0" w:hRule="atLeast"/>
        </w:trPr>
        <w:tc>
          <w:tcPr>
            <w:tcW w:w="1129" w:type="dxa"/>
            <w:vMerge w:val="continue"/>
            <w:tcBorders>
              <w:tl2br w:val="nil"/>
              <w:tr2bl w:val="nil"/>
            </w:tcBorders>
            <w:vAlign w:val="center"/>
          </w:tcPr>
          <w:p>
            <w:pPr>
              <w:widowControl/>
              <w:jc w:val="left"/>
              <w:rPr>
                <w:rFonts w:ascii="仿宋" w:hAnsi="仿宋" w:eastAsia="仿宋" w:cs="宋体"/>
                <w:b/>
                <w:bCs/>
                <w:color w:val="000000"/>
                <w:kern w:val="0"/>
                <w:sz w:val="24"/>
                <w:szCs w:val="24"/>
              </w:rPr>
            </w:pP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已审核项目方案</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系统支持查看已审核的项目方案信息，查看已办事务显示当前用户办理完成且流程已经流转完毕的事务。用户可以对事务申报信息、附件、审核流程等信息进行查看，但不能进行编辑、修改等操作。用户主要查看事务基本信息和流转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129" w:type="dxa"/>
            <w:vMerge w:val="continue"/>
            <w:tcBorders>
              <w:tl2br w:val="nil"/>
              <w:tr2bl w:val="nil"/>
            </w:tcBorders>
            <w:vAlign w:val="center"/>
          </w:tcPr>
          <w:p>
            <w:pPr>
              <w:widowControl/>
              <w:jc w:val="left"/>
              <w:rPr>
                <w:rFonts w:ascii="仿宋" w:hAnsi="仿宋" w:eastAsia="仿宋" w:cs="宋体"/>
                <w:b/>
                <w:bCs/>
                <w:color w:val="000000"/>
                <w:kern w:val="0"/>
                <w:sz w:val="24"/>
                <w:szCs w:val="24"/>
              </w:rPr>
            </w:pP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项目方案汇总</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可以查看到已经终审的方案，可通过字段“财政绩效项目编号”、“项目名称”、“申请单位”、“建设状态”或“资金渠道”进行筛选查看，在列表中可以看到每个项目的申请资金、评估金额、下调金额、下调比例，执行右上方的【导出】，把项目以</w:t>
            </w:r>
            <w:r>
              <w:rPr>
                <w:rFonts w:ascii="仿宋" w:hAnsi="仿宋" w:eastAsia="仿宋"/>
                <w:color w:val="000000"/>
                <w:kern w:val="0"/>
                <w:sz w:val="24"/>
                <w:szCs w:val="24"/>
              </w:rPr>
              <w:t>EXCLE</w:t>
            </w:r>
            <w:r>
              <w:rPr>
                <w:rFonts w:hint="eastAsia" w:ascii="仿宋" w:hAnsi="仿宋" w:eastAsia="仿宋" w:cs="宋体"/>
                <w:color w:val="000000"/>
                <w:kern w:val="0"/>
                <w:sz w:val="24"/>
                <w:szCs w:val="24"/>
              </w:rPr>
              <w:t>表形式进行导出，执行【详情】可进入查看出申报表的详细信息、附件、审核流程以及评估信息。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129" w:type="dxa"/>
            <w:vMerge w:val="restart"/>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项目实施管理</w:t>
            </w: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合同备案</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由申报单位对项目合同信息在系统进行备案归档，以便查阅和留痕，合同备案需要登记拨付合同节点，合同分几个付款点等；与后续的拨付环节有关联。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129" w:type="dxa"/>
            <w:vMerge w:val="continue"/>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项目进度跟踪</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项目已经完后合同备案后，出现项目延迟等进度变化，可以进行项目进度更新。审核部门通过系统不定期对信息化项目进展情况进行监督检查和评估，确保相关工作能够衔接顺畅和及时开展，报送单位定期将项目进度情况、资金使用情况、项目存在问题和解决方案等项目进度信息登记到系统，作为检查验收和改进信息化项目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129" w:type="dxa"/>
            <w:vMerge w:val="restart"/>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项目验收管理</w:t>
            </w: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项目验收申请</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申报单位对本部门已经达到符合项目验收的项目进行验收申请，在系统上填报相关验收表单内容，上传验收需提交的资料文件提交由审核人员审核即可。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129" w:type="dxa"/>
            <w:vMerge w:val="continue"/>
            <w:tcBorders>
              <w:tl2br w:val="nil"/>
              <w:tr2bl w:val="nil"/>
            </w:tcBorders>
            <w:vAlign w:val="center"/>
          </w:tcPr>
          <w:p>
            <w:pPr>
              <w:widowControl/>
              <w:jc w:val="left"/>
              <w:rPr>
                <w:rFonts w:ascii="仿宋" w:hAnsi="仿宋" w:eastAsia="仿宋" w:cs="宋体"/>
                <w:b/>
                <w:bCs/>
                <w:color w:val="000000"/>
                <w:kern w:val="0"/>
                <w:sz w:val="24"/>
                <w:szCs w:val="24"/>
              </w:rPr>
            </w:pP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项目验收申请审核</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提交项目验收申请和资料备案后，市政数局对照合同及项目实际的建设情况进行审查，审核通过，出具准予项目验收的意见，验收方式等，项目进入待验收状态。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129" w:type="dxa"/>
            <w:vMerge w:val="continue"/>
            <w:tcBorders>
              <w:tl2br w:val="nil"/>
              <w:tr2bl w:val="nil"/>
            </w:tcBorders>
            <w:vAlign w:val="center"/>
          </w:tcPr>
          <w:p>
            <w:pPr>
              <w:widowControl/>
              <w:jc w:val="left"/>
              <w:rPr>
                <w:rFonts w:ascii="仿宋" w:hAnsi="仿宋" w:eastAsia="仿宋" w:cs="宋体"/>
                <w:b/>
                <w:bCs/>
                <w:color w:val="000000"/>
                <w:kern w:val="0"/>
                <w:sz w:val="24"/>
                <w:szCs w:val="24"/>
              </w:rPr>
            </w:pP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验收申请已审核</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系统支持进入查看已审核的验收项目，可通过字段“项目编号”、“项目名称”、“申请单位”、“建设状态”或“资金渠道”进行筛选查看，可以查看出验收的申报状态，同时可进入查看出申报表的详细信息、附件以及审核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129" w:type="dxa"/>
            <w:vMerge w:val="continue"/>
            <w:tcBorders>
              <w:tl2br w:val="nil"/>
              <w:tr2bl w:val="nil"/>
            </w:tcBorders>
            <w:vAlign w:val="center"/>
          </w:tcPr>
          <w:p>
            <w:pPr>
              <w:widowControl/>
              <w:jc w:val="left"/>
              <w:rPr>
                <w:rFonts w:ascii="仿宋" w:hAnsi="仿宋" w:eastAsia="仿宋" w:cs="宋体"/>
                <w:b/>
                <w:bCs/>
                <w:color w:val="000000"/>
                <w:kern w:val="0"/>
                <w:sz w:val="24"/>
                <w:szCs w:val="24"/>
              </w:rPr>
            </w:pP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项目验收备案</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对已经验收通过的项目进行备案归档，以便后续项目查证可用到，备案无需走申报流程，登记即可。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129" w:type="dxa"/>
            <w:vMerge w:val="continue"/>
            <w:tcBorders>
              <w:tl2br w:val="nil"/>
              <w:tr2bl w:val="nil"/>
            </w:tcBorders>
            <w:vAlign w:val="center"/>
          </w:tcPr>
          <w:p>
            <w:pPr>
              <w:widowControl/>
              <w:jc w:val="left"/>
              <w:rPr>
                <w:rFonts w:ascii="仿宋" w:hAnsi="仿宋" w:eastAsia="仿宋" w:cs="宋体"/>
                <w:b/>
                <w:bCs/>
                <w:color w:val="000000"/>
                <w:kern w:val="0"/>
                <w:sz w:val="24"/>
                <w:szCs w:val="24"/>
              </w:rPr>
            </w:pP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资产登记</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对项目所属资产的内容进行登记操作，分为数据资产、硬件资产、软件资产。当资产信息存在信息变动或作废时，可以对资产登记信息进行“修改”和“作废”操作，同时系统通过“数据修改记录”对修改信息进行记录，方便跟踪资产的变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129" w:type="dxa"/>
            <w:vMerge w:val="restart"/>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监控预警</w:t>
            </w: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合同预警</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对合同内容中合同节点进行合同拨付节点预警，用于监控合同是否按合同写明日期进行款项支付，预警方式通过红绿灯的展示方式在系统体现，并且通过短信的方式对相关负责人员进行通知。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1129" w:type="dxa"/>
            <w:vMerge w:val="continue"/>
            <w:tcBorders>
              <w:tl2br w:val="nil"/>
              <w:tr2bl w:val="nil"/>
            </w:tcBorders>
            <w:vAlign w:val="center"/>
          </w:tcPr>
          <w:p>
            <w:pPr>
              <w:widowControl/>
              <w:jc w:val="left"/>
              <w:rPr>
                <w:rFonts w:ascii="仿宋" w:hAnsi="仿宋" w:eastAsia="仿宋" w:cs="宋体"/>
                <w:b/>
                <w:bCs/>
                <w:color w:val="000000"/>
                <w:kern w:val="0"/>
                <w:sz w:val="24"/>
                <w:szCs w:val="24"/>
              </w:rPr>
            </w:pP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造价评估预警</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对有项目需要做造价评估的进行监控预警，如在规定时间内未完成造价评估并且上传造价评估报告，在系统就会通过红绿灯的标识来展示是否超期或者即将超期；以短信的方式通知项目负责人提醒提交造价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129" w:type="dxa"/>
            <w:vMerge w:val="continue"/>
            <w:tcBorders>
              <w:tl2br w:val="nil"/>
              <w:tr2bl w:val="nil"/>
            </w:tcBorders>
            <w:vAlign w:val="center"/>
          </w:tcPr>
          <w:p>
            <w:pPr>
              <w:widowControl/>
              <w:jc w:val="left"/>
              <w:rPr>
                <w:rFonts w:ascii="仿宋" w:hAnsi="仿宋" w:eastAsia="仿宋" w:cs="宋体"/>
                <w:b/>
                <w:bCs/>
                <w:color w:val="000000"/>
                <w:kern w:val="0"/>
                <w:sz w:val="24"/>
                <w:szCs w:val="24"/>
              </w:rPr>
            </w:pP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大项目预警</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报单位备案合同时根据合同归类，选择“大项目”进行归类，可以由多个合同汇总为大项目。管理单位可以查看单个大项目的拨付情况和拨付进度信息。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129" w:type="dxa"/>
            <w:vMerge w:val="restart"/>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统计分析</w:t>
            </w: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各部门申请资金汇总表</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统计各个部门项目数量、申报总金额、安排预算总金额等。系统支持Excle表格导出。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129" w:type="dxa"/>
            <w:vMerge w:val="continue"/>
            <w:tcBorders>
              <w:tl2br w:val="nil"/>
              <w:tr2bl w:val="nil"/>
            </w:tcBorders>
            <w:vAlign w:val="center"/>
          </w:tcPr>
          <w:p>
            <w:pPr>
              <w:widowControl/>
              <w:jc w:val="left"/>
              <w:rPr>
                <w:rFonts w:ascii="仿宋" w:hAnsi="仿宋" w:eastAsia="仿宋" w:cs="宋体"/>
                <w:b/>
                <w:bCs/>
                <w:color w:val="000000"/>
                <w:kern w:val="0"/>
                <w:sz w:val="24"/>
                <w:szCs w:val="24"/>
              </w:rPr>
            </w:pP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申报项目统计</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统计每月项目申报和方案编制，支持灵活的多维报表，支持直方图，饼图，折线图等多种图表的自动生成。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129" w:type="dxa"/>
            <w:vMerge w:val="continue"/>
            <w:tcBorders>
              <w:tl2br w:val="nil"/>
              <w:tr2bl w:val="nil"/>
            </w:tcBorders>
            <w:vAlign w:val="center"/>
          </w:tcPr>
          <w:p>
            <w:pPr>
              <w:widowControl/>
              <w:jc w:val="left"/>
              <w:rPr>
                <w:rFonts w:ascii="仿宋" w:hAnsi="仿宋" w:eastAsia="仿宋" w:cs="宋体"/>
                <w:b/>
                <w:bCs/>
                <w:color w:val="000000"/>
                <w:kern w:val="0"/>
                <w:sz w:val="24"/>
                <w:szCs w:val="24"/>
              </w:rPr>
            </w:pP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建设状态统计</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统计每月项目申报和方案编制，支持灵活的多维报表，支持直方图，饼图，折线图等多种图表的自动生成。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1129" w:type="dxa"/>
            <w:vMerge w:val="restart"/>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系统设置</w:t>
            </w: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用户管理</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系统提供用户功能模块，实现各部门用户的分配，系统管理员可增加、删除、修改用户，用户组信息。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0" w:hRule="atLeast"/>
        </w:trPr>
        <w:tc>
          <w:tcPr>
            <w:tcW w:w="1129" w:type="dxa"/>
            <w:vMerge w:val="continue"/>
            <w:tcBorders>
              <w:tl2br w:val="nil"/>
              <w:tr2bl w:val="nil"/>
            </w:tcBorders>
            <w:vAlign w:val="center"/>
          </w:tcPr>
          <w:p>
            <w:pPr>
              <w:widowControl/>
              <w:jc w:val="left"/>
              <w:rPr>
                <w:rFonts w:ascii="仿宋" w:hAnsi="仿宋" w:eastAsia="仿宋" w:cs="宋体"/>
                <w:b/>
                <w:bCs/>
                <w:color w:val="000000"/>
                <w:kern w:val="0"/>
                <w:sz w:val="24"/>
                <w:szCs w:val="24"/>
              </w:rPr>
            </w:pP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权限管理</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系统提供权限功能模块，系统管理员可增加、删除、修改用户权限，设置用户的机构权限、组织权限、操作权限、数据权限。</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通过用户、用户组及权限管理功能，可根据机构、部门、项目组、用户类别等建立用户组，用户可以属于某个组或几个组，也可以是独立用户。</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系统通过对用户组进行授权，组中的每个用户都拥有组的所有权限，极大方便了授权管理；独立的用户可以独立授权。用户组、用户的权限可以针对机构、业务数据的范围、功能范围等进行授权，实现系统应用的数据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4" w:hRule="atLeast"/>
        </w:trPr>
        <w:tc>
          <w:tcPr>
            <w:tcW w:w="1129" w:type="dxa"/>
            <w:vMerge w:val="continue"/>
            <w:tcBorders>
              <w:tl2br w:val="nil"/>
              <w:tr2bl w:val="nil"/>
            </w:tcBorders>
            <w:vAlign w:val="center"/>
          </w:tcPr>
          <w:p>
            <w:pPr>
              <w:widowControl/>
              <w:jc w:val="left"/>
              <w:rPr>
                <w:rFonts w:ascii="仿宋" w:hAnsi="仿宋" w:eastAsia="仿宋" w:cs="宋体"/>
                <w:b/>
                <w:bCs/>
                <w:color w:val="000000"/>
                <w:kern w:val="0"/>
                <w:sz w:val="24"/>
                <w:szCs w:val="24"/>
              </w:rPr>
            </w:pP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日志管理</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日志管理可以记录用户的系统操作和系统的状态，如用户登录、非授权访问、敏感操作、管理员后台操作等。系统管理员可以利用日志管理提供的信息作为系统的监视、诊断和维护的依据。日志信息包括三种类型：信息、警告和错误。系统管理员可以按时间、事件发生源、日志类型等属性对日志信息进行过滤。日志管理包括日志浏览和日志维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129" w:type="dxa"/>
            <w:vMerge w:val="continue"/>
            <w:tcBorders>
              <w:tl2br w:val="nil"/>
              <w:tr2bl w:val="nil"/>
            </w:tcBorders>
            <w:vAlign w:val="center"/>
          </w:tcPr>
          <w:p>
            <w:pPr>
              <w:widowControl/>
              <w:jc w:val="left"/>
              <w:rPr>
                <w:rFonts w:ascii="仿宋" w:hAnsi="仿宋" w:eastAsia="仿宋" w:cs="宋体"/>
                <w:b/>
                <w:bCs/>
                <w:color w:val="000000"/>
                <w:kern w:val="0"/>
                <w:sz w:val="24"/>
                <w:szCs w:val="24"/>
              </w:rPr>
            </w:pP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菜单管理</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对系统涉及的功能菜单按照定义进行统一管理。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1129" w:type="dxa"/>
            <w:vMerge w:val="continue"/>
            <w:tcBorders>
              <w:tl2br w:val="nil"/>
              <w:tr2bl w:val="nil"/>
            </w:tcBorders>
            <w:vAlign w:val="center"/>
          </w:tcPr>
          <w:p>
            <w:pPr>
              <w:widowControl/>
              <w:jc w:val="left"/>
              <w:rPr>
                <w:rFonts w:ascii="仿宋" w:hAnsi="仿宋" w:eastAsia="仿宋" w:cs="宋体"/>
                <w:b/>
                <w:bCs/>
                <w:color w:val="000000"/>
                <w:kern w:val="0"/>
                <w:sz w:val="24"/>
                <w:szCs w:val="24"/>
              </w:rPr>
            </w:pP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机构管理</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系统提供机构单位功能模块，实现管理不同的部门信息的分配，系统管理员可增加、删除、修改，机构组信息。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129" w:type="dxa"/>
            <w:vMerge w:val="continue"/>
            <w:tcBorders>
              <w:tl2br w:val="nil"/>
              <w:tr2bl w:val="nil"/>
            </w:tcBorders>
            <w:vAlign w:val="center"/>
          </w:tcPr>
          <w:p>
            <w:pPr>
              <w:widowControl/>
              <w:jc w:val="left"/>
              <w:rPr>
                <w:rFonts w:ascii="仿宋" w:hAnsi="仿宋" w:eastAsia="仿宋" w:cs="宋体"/>
                <w:b/>
                <w:bCs/>
                <w:color w:val="000000"/>
                <w:kern w:val="0"/>
                <w:sz w:val="24"/>
                <w:szCs w:val="24"/>
              </w:rPr>
            </w:pP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数据字典管理</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对系统涉及相关数据字典按照定义进行统一管理。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1129" w:type="dxa"/>
            <w:vMerge w:val="restart"/>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我的面板</w:t>
            </w: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个人信息</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系统提供给系统用户进行修改个人的基本信息，当联系方式发生变更，可以及时更新，方便接受短信通知。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129" w:type="dxa"/>
            <w:vMerge w:val="continue"/>
            <w:tcBorders>
              <w:tl2br w:val="nil"/>
              <w:tr2bl w:val="nil"/>
            </w:tcBorders>
            <w:vAlign w:val="center"/>
          </w:tcPr>
          <w:p>
            <w:pPr>
              <w:widowControl/>
              <w:jc w:val="left"/>
              <w:rPr>
                <w:rFonts w:ascii="仿宋" w:hAnsi="仿宋" w:eastAsia="仿宋" w:cs="宋体"/>
                <w:b/>
                <w:bCs/>
                <w:color w:val="000000"/>
                <w:kern w:val="0"/>
                <w:sz w:val="24"/>
                <w:szCs w:val="24"/>
              </w:rPr>
            </w:pP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修改密码</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系统提供给系统用户进行个人账户的密码管理，可以进行密码修改。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1129" w:type="dxa"/>
            <w:vMerge w:val="continue"/>
            <w:tcBorders>
              <w:tl2br w:val="nil"/>
              <w:tr2bl w:val="nil"/>
            </w:tcBorders>
            <w:vAlign w:val="center"/>
          </w:tcPr>
          <w:p>
            <w:pPr>
              <w:widowControl/>
              <w:jc w:val="left"/>
              <w:rPr>
                <w:rFonts w:ascii="仿宋" w:hAnsi="仿宋" w:eastAsia="仿宋" w:cs="宋体"/>
                <w:b/>
                <w:bCs/>
                <w:color w:val="000000"/>
                <w:kern w:val="0"/>
                <w:sz w:val="24"/>
                <w:szCs w:val="24"/>
              </w:rPr>
            </w:pP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常用审批意见</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为了方便审核，提交审核效率，可以设置审批的常用审批意见，在审核的时候可以快速选择审核。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129" w:type="dxa"/>
            <w:vMerge w:val="restart"/>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系统接口</w:t>
            </w: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与短信接口对接</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为提高办事效率开发，缩短项目时间，建立与短信平台对接，实现申报通知、受理意见、审核意见、结果告知等短信提醒提醒功能。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1129" w:type="dxa"/>
            <w:vMerge w:val="continue"/>
            <w:tcBorders>
              <w:tl2br w:val="nil"/>
              <w:tr2bl w:val="nil"/>
            </w:tcBorders>
            <w:shd w:val="clear" w:color="auto" w:fill="auto"/>
            <w:vAlign w:val="center"/>
          </w:tcPr>
          <w:p>
            <w:pPr>
              <w:widowControl/>
              <w:jc w:val="left"/>
              <w:rPr>
                <w:rFonts w:ascii="仿宋" w:hAnsi="仿宋" w:eastAsia="仿宋" w:cs="宋体"/>
                <w:b/>
                <w:bCs/>
                <w:color w:val="000000"/>
                <w:kern w:val="0"/>
                <w:sz w:val="24"/>
                <w:szCs w:val="24"/>
              </w:rPr>
            </w:pPr>
          </w:p>
        </w:tc>
        <w:tc>
          <w:tcPr>
            <w:tcW w:w="1701" w:type="dxa"/>
            <w:tcBorders>
              <w:tl2br w:val="nil"/>
              <w:tr2bl w:val="nil"/>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与统一认证（政府侧）对接</w:t>
            </w:r>
          </w:p>
        </w:tc>
        <w:tc>
          <w:tcPr>
            <w:tcW w:w="5529" w:type="dxa"/>
            <w:tcBorders>
              <w:tl2br w:val="nil"/>
              <w:tr2bl w:val="nil"/>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为实现移动办公、安全便捷登录业务系统，推动扁平、透明、移动、智能的办公方式，提高跨部门政务业务协同效率和登录账户安全性，全面实行实名化审核。系统实现统一认证（政府侧）账户密码登录和粤政易扫码登录的业务场景。</w:t>
            </w:r>
          </w:p>
        </w:tc>
      </w:tr>
    </w:tbl>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zh-CN"/>
        </w:rPr>
      </w:pPr>
      <w:r>
        <w:rPr>
          <w:rFonts w:hint="eastAsia" w:ascii="黑体" w:hAnsi="黑体" w:eastAsia="黑体" w:cs="黑体"/>
          <w:color w:val="auto"/>
          <w:sz w:val="32"/>
          <w:szCs w:val="32"/>
          <w:lang w:val="zh-CN"/>
        </w:rPr>
        <w:t>项目维护服务要求</w:t>
      </w:r>
    </w:p>
    <w:tbl>
      <w:tblPr>
        <w:tblStyle w:val="10"/>
        <w:tblW w:w="85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8517" w:type="dxa"/>
            <w:shd w:val="clear" w:color="auto" w:fill="auto"/>
            <w:vAlign w:val="center"/>
          </w:tcPr>
          <w:p>
            <w:pPr>
              <w:jc w:val="center"/>
              <w:rPr>
                <w:rFonts w:ascii="仿宋" w:hAnsi="仿宋" w:eastAsia="仿宋" w:cstheme="minorBidi"/>
                <w:sz w:val="24"/>
                <w:szCs w:val="24"/>
              </w:rPr>
            </w:pPr>
            <w:r>
              <w:rPr>
                <w:rFonts w:hint="eastAsia" w:ascii="仿宋" w:hAnsi="仿宋" w:eastAsia="仿宋" w:cstheme="minorBidi"/>
                <w:b/>
                <w:bCs/>
                <w:sz w:val="24"/>
                <w:szCs w:val="24"/>
              </w:rPr>
              <w:t>系统日常维护内容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8517" w:type="dxa"/>
            <w:shd w:val="clear" w:color="auto" w:fill="auto"/>
            <w:vAlign w:val="center"/>
          </w:tcPr>
          <w:p>
            <w:pPr>
              <w:spacing w:line="300" w:lineRule="auto"/>
              <w:ind w:firstLine="480" w:firstLineChars="200"/>
              <w:rPr>
                <w:rFonts w:ascii="仿宋" w:hAnsi="仿宋" w:eastAsia="仿宋" w:cstheme="minorBidi"/>
                <w:sz w:val="24"/>
                <w:szCs w:val="24"/>
              </w:rPr>
            </w:pPr>
            <w:r>
              <w:rPr>
                <w:rFonts w:hint="eastAsia" w:ascii="仿宋" w:hAnsi="仿宋" w:eastAsia="仿宋" w:cstheme="minorBidi"/>
                <w:sz w:val="24"/>
                <w:szCs w:val="24"/>
              </w:rPr>
              <w:t>1、对系统提示的程序错误，及时纠正因程序问题引起的数据缺陷，及时处理系统突发性故障。</w:t>
            </w:r>
          </w:p>
          <w:p>
            <w:pPr>
              <w:spacing w:line="300" w:lineRule="auto"/>
              <w:ind w:firstLine="480" w:firstLineChars="200"/>
              <w:rPr>
                <w:rFonts w:ascii="仿宋" w:hAnsi="仿宋" w:eastAsia="仿宋" w:cstheme="minorBidi"/>
                <w:sz w:val="24"/>
                <w:szCs w:val="24"/>
              </w:rPr>
            </w:pPr>
            <w:r>
              <w:rPr>
                <w:rFonts w:hint="eastAsia" w:ascii="仿宋" w:hAnsi="仿宋" w:eastAsia="仿宋" w:cstheme="minorBidi"/>
                <w:sz w:val="24"/>
                <w:szCs w:val="24"/>
              </w:rPr>
              <w:t>2、及时解决对用户在不同浏览器可能出现的异常问题。</w:t>
            </w:r>
          </w:p>
          <w:p>
            <w:pPr>
              <w:spacing w:line="300" w:lineRule="auto"/>
              <w:ind w:firstLine="480" w:firstLineChars="200"/>
              <w:rPr>
                <w:rFonts w:ascii="仿宋" w:hAnsi="仿宋" w:eastAsia="仿宋" w:cstheme="minorBidi"/>
                <w:sz w:val="24"/>
                <w:szCs w:val="24"/>
              </w:rPr>
            </w:pPr>
            <w:r>
              <w:rPr>
                <w:rFonts w:hint="eastAsia" w:ascii="仿宋" w:hAnsi="仿宋" w:eastAsia="仿宋" w:cstheme="minorBidi"/>
                <w:sz w:val="24"/>
                <w:szCs w:val="24"/>
              </w:rPr>
              <w:t>3、对系统服务器性能、数据库性能、应用程序运行日志等进行监控。</w:t>
            </w:r>
          </w:p>
          <w:p>
            <w:pPr>
              <w:spacing w:line="300" w:lineRule="auto"/>
              <w:ind w:firstLine="480" w:firstLineChars="200"/>
              <w:rPr>
                <w:rFonts w:ascii="仿宋" w:hAnsi="仿宋" w:eastAsia="仿宋" w:cstheme="minorBidi"/>
                <w:sz w:val="24"/>
                <w:szCs w:val="24"/>
              </w:rPr>
            </w:pPr>
            <w:r>
              <w:rPr>
                <w:rFonts w:hint="eastAsia" w:ascii="仿宋" w:hAnsi="仿宋" w:eastAsia="仿宋" w:cstheme="minorBidi"/>
                <w:sz w:val="24"/>
                <w:szCs w:val="24"/>
              </w:rPr>
              <w:t>4、对系统数据及数据库设定自动备份程序，定期检查及同步手工备份，确保备份数据得以妥善保存。</w:t>
            </w:r>
          </w:p>
          <w:p>
            <w:pPr>
              <w:spacing w:line="300" w:lineRule="auto"/>
              <w:ind w:firstLine="480" w:firstLineChars="200"/>
              <w:rPr>
                <w:rFonts w:ascii="仿宋" w:hAnsi="仿宋" w:eastAsia="仿宋" w:cstheme="minorBidi"/>
                <w:sz w:val="24"/>
                <w:szCs w:val="24"/>
              </w:rPr>
            </w:pPr>
            <w:r>
              <w:rPr>
                <w:rFonts w:hint="eastAsia" w:ascii="仿宋" w:hAnsi="仿宋" w:eastAsia="仿宋" w:cstheme="minorBidi"/>
                <w:sz w:val="24"/>
                <w:szCs w:val="24"/>
              </w:rPr>
              <w:t>5、定期向业主单位提供维护报告。</w:t>
            </w:r>
          </w:p>
          <w:p>
            <w:pPr>
              <w:spacing w:line="300" w:lineRule="auto"/>
              <w:ind w:firstLine="480" w:firstLineChars="200"/>
              <w:rPr>
                <w:rFonts w:ascii="仿宋" w:hAnsi="仿宋" w:eastAsia="仿宋" w:cstheme="minorBidi"/>
                <w:sz w:val="24"/>
                <w:szCs w:val="24"/>
              </w:rPr>
            </w:pPr>
            <w:r>
              <w:rPr>
                <w:rFonts w:hint="eastAsia" w:ascii="仿宋" w:hAnsi="仿宋" w:eastAsia="仿宋" w:cstheme="minorBidi"/>
                <w:sz w:val="24"/>
                <w:szCs w:val="24"/>
              </w:rPr>
              <w:t>6、不定期进行电话回访或现场走访用户，及时了解系统的运行情况及用户意见，并提出确保系统稳定运行的合理化建议与意见。</w:t>
            </w:r>
          </w:p>
          <w:p>
            <w:pPr>
              <w:spacing w:line="300" w:lineRule="auto"/>
              <w:ind w:firstLine="480" w:firstLineChars="200"/>
              <w:rPr>
                <w:rFonts w:ascii="仿宋" w:hAnsi="仿宋" w:eastAsia="仿宋" w:cstheme="minorBidi"/>
                <w:sz w:val="24"/>
                <w:szCs w:val="24"/>
              </w:rPr>
            </w:pPr>
            <w:r>
              <w:rPr>
                <w:rFonts w:hint="eastAsia" w:ascii="仿宋" w:hAnsi="仿宋" w:eastAsia="仿宋" w:cstheme="minorBidi"/>
                <w:sz w:val="24"/>
                <w:szCs w:val="24"/>
              </w:rPr>
              <w:t>7、根据用户需要，可对用户在系统使用过程中，遇到的疑问和困难提供及时的配合、支持、指导。</w:t>
            </w:r>
          </w:p>
          <w:p>
            <w:pPr>
              <w:spacing w:line="300" w:lineRule="auto"/>
              <w:ind w:firstLine="480" w:firstLineChars="200"/>
              <w:rPr>
                <w:rFonts w:ascii="仿宋" w:hAnsi="仿宋" w:eastAsia="仿宋" w:cstheme="minorBidi"/>
                <w:sz w:val="24"/>
                <w:szCs w:val="24"/>
              </w:rPr>
            </w:pPr>
            <w:r>
              <w:rPr>
                <w:rFonts w:hint="eastAsia" w:ascii="仿宋" w:hAnsi="仿宋" w:eastAsia="仿宋" w:cstheme="minorBidi"/>
                <w:sz w:val="24"/>
                <w:szCs w:val="24"/>
              </w:rPr>
              <w:t>8、提供</w:t>
            </w:r>
            <w:r>
              <w:rPr>
                <w:rFonts w:ascii="仿宋" w:hAnsi="仿宋" w:eastAsia="仿宋" w:cstheme="minorBidi"/>
                <w:sz w:val="24"/>
                <w:szCs w:val="24"/>
              </w:rPr>
              <w:t>7*24</w:t>
            </w:r>
            <w:r>
              <w:rPr>
                <w:rFonts w:hint="eastAsia" w:ascii="仿宋" w:hAnsi="仿宋" w:eastAsia="仿宋" w:cstheme="minorBidi"/>
                <w:sz w:val="24"/>
                <w:szCs w:val="24"/>
              </w:rPr>
              <w:t>小时电话支持服务，根据实际情况，对系统突发情况（如系统服务停止、数据丢失等）提供快速响应及处理服务。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8517" w:type="dxa"/>
            <w:shd w:val="clear" w:color="auto" w:fill="auto"/>
            <w:vAlign w:val="center"/>
          </w:tcPr>
          <w:p>
            <w:pPr>
              <w:jc w:val="center"/>
              <w:rPr>
                <w:rFonts w:ascii="仿宋" w:hAnsi="仿宋" w:eastAsia="仿宋" w:cstheme="minorBidi"/>
                <w:sz w:val="24"/>
                <w:szCs w:val="24"/>
              </w:rPr>
            </w:pPr>
            <w:r>
              <w:rPr>
                <w:rFonts w:hint="eastAsia" w:ascii="仿宋" w:hAnsi="仿宋" w:eastAsia="仿宋" w:cstheme="minorBidi"/>
                <w:b/>
                <w:bCs/>
                <w:sz w:val="24"/>
                <w:szCs w:val="24"/>
              </w:rPr>
              <w:t>技术支持服务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8" w:hRule="atLeast"/>
          <w:jc w:val="center"/>
        </w:trPr>
        <w:tc>
          <w:tcPr>
            <w:tcW w:w="8517" w:type="dxa"/>
            <w:shd w:val="clear" w:color="auto" w:fill="auto"/>
            <w:vAlign w:val="center"/>
          </w:tcPr>
          <w:p>
            <w:pPr>
              <w:pStyle w:val="18"/>
              <w:numPr>
                <w:ilvl w:val="0"/>
                <w:numId w:val="2"/>
              </w:numPr>
              <w:spacing w:line="300" w:lineRule="auto"/>
              <w:ind w:firstLineChars="0"/>
              <w:rPr>
                <w:rFonts w:ascii="仿宋" w:hAnsi="仿宋" w:eastAsia="仿宋" w:cstheme="minorBidi"/>
                <w:sz w:val="24"/>
                <w:szCs w:val="24"/>
              </w:rPr>
            </w:pPr>
            <w:r>
              <w:rPr>
                <w:rFonts w:hint="eastAsia" w:ascii="仿宋" w:hAnsi="仿宋" w:eastAsia="仿宋" w:cstheme="minorBidi"/>
                <w:sz w:val="24"/>
                <w:szCs w:val="24"/>
              </w:rPr>
              <w:t>补丁升级服务；</w:t>
            </w:r>
          </w:p>
          <w:p>
            <w:pPr>
              <w:pStyle w:val="18"/>
              <w:numPr>
                <w:ilvl w:val="0"/>
                <w:numId w:val="2"/>
              </w:numPr>
              <w:spacing w:line="300" w:lineRule="auto"/>
              <w:ind w:firstLineChars="0"/>
              <w:rPr>
                <w:rFonts w:ascii="仿宋" w:hAnsi="仿宋" w:eastAsia="仿宋" w:cstheme="minorBidi"/>
                <w:sz w:val="24"/>
                <w:szCs w:val="24"/>
              </w:rPr>
            </w:pPr>
            <w:r>
              <w:rPr>
                <w:rFonts w:hint="eastAsia" w:ascii="仿宋" w:hAnsi="仿宋" w:eastAsia="仿宋" w:cstheme="minorBidi"/>
                <w:sz w:val="24"/>
                <w:szCs w:val="24"/>
              </w:rPr>
              <w:t>技术支持服务：维护人员提供</w:t>
            </w:r>
            <w:r>
              <w:rPr>
                <w:rFonts w:ascii="仿宋" w:hAnsi="仿宋" w:eastAsia="仿宋" w:cstheme="minorBidi"/>
                <w:sz w:val="24"/>
                <w:szCs w:val="24"/>
              </w:rPr>
              <w:t>7*24</w:t>
            </w:r>
            <w:r>
              <w:rPr>
                <w:rFonts w:hint="eastAsia" w:ascii="仿宋" w:hAnsi="仿宋" w:eastAsia="仿宋" w:cstheme="minorBidi"/>
                <w:sz w:val="24"/>
                <w:szCs w:val="24"/>
              </w:rPr>
              <w:t>小时电话支持服务。</w:t>
            </w:r>
          </w:p>
          <w:p>
            <w:pPr>
              <w:spacing w:line="30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（1）设立专人负责热线电话，及时解决使用人员使用过程中出现的疑问，帮助使用方更好的管理整个系统的运行，保证对系统提供24小时的实时服务，保证系统的可靠运行。</w:t>
            </w:r>
          </w:p>
          <w:p>
            <w:pPr>
              <w:widowControl/>
              <w:spacing w:line="300" w:lineRule="auto"/>
              <w:ind w:firstLine="482"/>
              <w:jc w:val="left"/>
              <w:rPr>
                <w:rFonts w:ascii="仿宋" w:hAnsi="仿宋" w:eastAsia="仿宋" w:cs="仿宋"/>
                <w:color w:val="000000"/>
                <w:sz w:val="24"/>
                <w:szCs w:val="24"/>
              </w:rPr>
            </w:pPr>
            <w:r>
              <w:rPr>
                <w:rFonts w:hint="eastAsia" w:ascii="仿宋" w:hAnsi="仿宋" w:eastAsia="仿宋" w:cs="仿宋"/>
                <w:color w:val="000000"/>
                <w:sz w:val="24"/>
                <w:szCs w:val="24"/>
              </w:rPr>
              <w:t>（2）对系统使用方提出的问题要求迅速响应，并根据情况划分严重级别，从而根据严重级别做出相应的服务响应。系统故障响应时间不超过 10 分钟，其他工作响应时间不超过 1 小时。具体如下表：</w:t>
            </w:r>
          </w:p>
          <w:tbl>
            <w:tblPr>
              <w:tblStyle w:val="10"/>
              <w:tblW w:w="8194" w:type="dxa"/>
              <w:tblInd w:w="96" w:type="dxa"/>
              <w:tblLayout w:type="fixed"/>
              <w:tblCellMar>
                <w:top w:w="0" w:type="dxa"/>
                <w:left w:w="108" w:type="dxa"/>
                <w:bottom w:w="0" w:type="dxa"/>
                <w:right w:w="108" w:type="dxa"/>
              </w:tblCellMar>
            </w:tblPr>
            <w:tblGrid>
              <w:gridCol w:w="1209"/>
              <w:gridCol w:w="4299"/>
              <w:gridCol w:w="1477"/>
              <w:gridCol w:w="1209"/>
            </w:tblGrid>
            <w:tr>
              <w:tblPrEx>
                <w:tblLayout w:type="fixed"/>
                <w:tblCellMar>
                  <w:top w:w="0" w:type="dxa"/>
                  <w:left w:w="108" w:type="dxa"/>
                  <w:bottom w:w="0" w:type="dxa"/>
                  <w:right w:w="108" w:type="dxa"/>
                </w:tblCellMar>
              </w:tblPrEx>
              <w:trPr>
                <w:trHeight w:val="470" w:hRule="atLeast"/>
              </w:trPr>
              <w:tc>
                <w:tcPr>
                  <w:tcW w:w="1209"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严重级别</w:t>
                  </w:r>
                </w:p>
              </w:tc>
              <w:tc>
                <w:tcPr>
                  <w:tcW w:w="4299" w:type="dxa"/>
                  <w:tcBorders>
                    <w:top w:val="single" w:color="auto" w:sz="4" w:space="0"/>
                    <w:left w:val="nil"/>
                    <w:bottom w:val="single" w:color="auto" w:sz="4" w:space="0"/>
                    <w:right w:val="single" w:color="auto" w:sz="4" w:space="0"/>
                  </w:tcBorders>
                  <w:shd w:val="clear" w:color="auto" w:fill="D9D9D9"/>
                  <w:vAlign w:val="center"/>
                </w:tcPr>
                <w:p>
                  <w:pPr>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定义</w:t>
                  </w:r>
                </w:p>
              </w:tc>
              <w:tc>
                <w:tcPr>
                  <w:tcW w:w="1477" w:type="dxa"/>
                  <w:tcBorders>
                    <w:top w:val="single" w:color="auto" w:sz="4" w:space="0"/>
                    <w:left w:val="nil"/>
                    <w:bottom w:val="single" w:color="auto" w:sz="4" w:space="0"/>
                    <w:right w:val="single" w:color="auto" w:sz="4" w:space="0"/>
                  </w:tcBorders>
                  <w:shd w:val="clear" w:color="auto" w:fill="D9D9D9"/>
                  <w:vAlign w:val="center"/>
                </w:tcPr>
                <w:p>
                  <w:pPr>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服务响应时间</w:t>
                  </w:r>
                </w:p>
              </w:tc>
              <w:tc>
                <w:tcPr>
                  <w:tcW w:w="1209" w:type="dxa"/>
                  <w:tcBorders>
                    <w:top w:val="single" w:color="auto" w:sz="4" w:space="0"/>
                    <w:left w:val="nil"/>
                    <w:bottom w:val="single" w:color="auto" w:sz="4" w:space="0"/>
                    <w:right w:val="single" w:color="auto" w:sz="4" w:space="0"/>
                  </w:tcBorders>
                  <w:shd w:val="clear" w:color="auto" w:fill="D9D9D9"/>
                  <w:vAlign w:val="center"/>
                </w:tcPr>
                <w:p>
                  <w:pPr>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处理完成时间</w:t>
                  </w:r>
                </w:p>
              </w:tc>
            </w:tr>
            <w:tr>
              <w:tblPrEx>
                <w:tblLayout w:type="fixed"/>
                <w:tblCellMar>
                  <w:top w:w="0" w:type="dxa"/>
                  <w:left w:w="108" w:type="dxa"/>
                  <w:bottom w:w="0" w:type="dxa"/>
                  <w:right w:w="108" w:type="dxa"/>
                </w:tblCellMar>
              </w:tblPrEx>
              <w:trPr>
                <w:trHeight w:val="482" w:hRule="atLeast"/>
              </w:trPr>
              <w:tc>
                <w:tcPr>
                  <w:tcW w:w="120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严重级A</w:t>
                  </w:r>
                </w:p>
              </w:tc>
              <w:tc>
                <w:tcPr>
                  <w:tcW w:w="4299" w:type="dxa"/>
                  <w:tcBorders>
                    <w:top w:val="single" w:color="auto" w:sz="4" w:space="0"/>
                    <w:left w:val="nil"/>
                    <w:bottom w:val="single" w:color="auto" w:sz="4" w:space="0"/>
                    <w:right w:val="single" w:color="auto" w:sz="4" w:space="0"/>
                  </w:tcBorders>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1．导致系统不能工作，无法提供正常服务。</w:t>
                  </w:r>
                </w:p>
                <w:p>
                  <w:pPr>
                    <w:rPr>
                      <w:rFonts w:ascii="仿宋" w:hAnsi="仿宋" w:eastAsia="仿宋" w:cs="仿宋"/>
                      <w:color w:val="000000"/>
                      <w:sz w:val="24"/>
                      <w:szCs w:val="24"/>
                    </w:rPr>
                  </w:pPr>
                  <w:r>
                    <w:rPr>
                      <w:rFonts w:hint="eastAsia" w:ascii="仿宋" w:hAnsi="仿宋" w:eastAsia="仿宋" w:cs="仿宋"/>
                      <w:color w:val="000000"/>
                      <w:sz w:val="24"/>
                      <w:szCs w:val="24"/>
                    </w:rPr>
                    <w:t>2．部分功能失效，性能下降，导致批量用户投诉。</w:t>
                  </w:r>
                </w:p>
              </w:tc>
              <w:tc>
                <w:tcPr>
                  <w:tcW w:w="1477" w:type="dxa"/>
                  <w:tcBorders>
                    <w:top w:val="single" w:color="auto" w:sz="4" w:space="0"/>
                    <w:left w:val="nil"/>
                    <w:bottom w:val="single" w:color="auto" w:sz="4" w:space="0"/>
                    <w:right w:val="single" w:color="auto" w:sz="4" w:space="0"/>
                  </w:tcBorders>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10分钟内</w:t>
                  </w:r>
                </w:p>
              </w:tc>
              <w:tc>
                <w:tcPr>
                  <w:tcW w:w="1209" w:type="dxa"/>
                  <w:tcBorders>
                    <w:top w:val="single" w:color="auto" w:sz="4" w:space="0"/>
                    <w:left w:val="nil"/>
                    <w:bottom w:val="single" w:color="auto" w:sz="4" w:space="0"/>
                    <w:right w:val="single" w:color="auto" w:sz="4" w:space="0"/>
                  </w:tcBorders>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1小时</w:t>
                  </w:r>
                </w:p>
              </w:tc>
            </w:tr>
            <w:tr>
              <w:tblPrEx>
                <w:tblLayout w:type="fixed"/>
                <w:tblCellMar>
                  <w:top w:w="0" w:type="dxa"/>
                  <w:left w:w="108" w:type="dxa"/>
                  <w:bottom w:w="0" w:type="dxa"/>
                  <w:right w:w="108" w:type="dxa"/>
                </w:tblCellMar>
              </w:tblPrEx>
              <w:trPr>
                <w:trHeight w:val="467" w:hRule="atLeast"/>
              </w:trPr>
              <w:tc>
                <w:tcPr>
                  <w:tcW w:w="120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影响级B</w:t>
                  </w:r>
                </w:p>
              </w:tc>
              <w:tc>
                <w:tcPr>
                  <w:tcW w:w="4299" w:type="dxa"/>
                  <w:tcBorders>
                    <w:top w:val="single" w:color="auto" w:sz="4" w:space="0"/>
                    <w:left w:val="nil"/>
                    <w:bottom w:val="single" w:color="auto" w:sz="4" w:space="0"/>
                    <w:right w:val="single" w:color="auto" w:sz="4" w:space="0"/>
                  </w:tcBorders>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系统能够工作，但部分功能失效，性能下降，但不致中断正常服务。</w:t>
                  </w:r>
                </w:p>
              </w:tc>
              <w:tc>
                <w:tcPr>
                  <w:tcW w:w="1477" w:type="dxa"/>
                  <w:tcBorders>
                    <w:top w:val="single" w:color="auto" w:sz="4" w:space="0"/>
                    <w:left w:val="nil"/>
                    <w:bottom w:val="single" w:color="auto" w:sz="4" w:space="0"/>
                    <w:right w:val="single" w:color="auto" w:sz="4" w:space="0"/>
                  </w:tcBorders>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30分钟内</w:t>
                  </w:r>
                </w:p>
              </w:tc>
              <w:tc>
                <w:tcPr>
                  <w:tcW w:w="1209" w:type="dxa"/>
                  <w:tcBorders>
                    <w:top w:val="single" w:color="auto" w:sz="4" w:space="0"/>
                    <w:left w:val="nil"/>
                    <w:bottom w:val="single" w:color="auto" w:sz="4" w:space="0"/>
                    <w:right w:val="single" w:color="auto" w:sz="4" w:space="0"/>
                  </w:tcBorders>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4小时</w:t>
                  </w:r>
                </w:p>
              </w:tc>
            </w:tr>
            <w:tr>
              <w:tblPrEx>
                <w:tblLayout w:type="fixed"/>
                <w:tblCellMar>
                  <w:top w:w="0" w:type="dxa"/>
                  <w:left w:w="108" w:type="dxa"/>
                  <w:bottom w:w="0" w:type="dxa"/>
                  <w:right w:w="108" w:type="dxa"/>
                </w:tblCellMar>
              </w:tblPrEx>
              <w:trPr>
                <w:trHeight w:val="625" w:hRule="atLeast"/>
              </w:trPr>
              <w:tc>
                <w:tcPr>
                  <w:tcW w:w="120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错误级C</w:t>
                  </w:r>
                </w:p>
              </w:tc>
              <w:tc>
                <w:tcPr>
                  <w:tcW w:w="4299" w:type="dxa"/>
                  <w:tcBorders>
                    <w:top w:val="single" w:color="auto" w:sz="4" w:space="0"/>
                    <w:left w:val="nil"/>
                    <w:bottom w:val="single" w:color="auto" w:sz="4" w:space="0"/>
                    <w:right w:val="single" w:color="auto" w:sz="4" w:space="0"/>
                  </w:tcBorders>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系统运行尚可，但出现系统报错或低端产品的安装出现。</w:t>
                  </w:r>
                </w:p>
              </w:tc>
              <w:tc>
                <w:tcPr>
                  <w:tcW w:w="1477" w:type="dxa"/>
                  <w:tcBorders>
                    <w:top w:val="single" w:color="auto" w:sz="4" w:space="0"/>
                    <w:left w:val="nil"/>
                    <w:bottom w:val="single" w:color="auto" w:sz="4" w:space="0"/>
                    <w:right w:val="single" w:color="auto" w:sz="4" w:space="0"/>
                  </w:tcBorders>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1小时内</w:t>
                  </w:r>
                </w:p>
              </w:tc>
              <w:tc>
                <w:tcPr>
                  <w:tcW w:w="1209" w:type="dxa"/>
                  <w:tcBorders>
                    <w:top w:val="single" w:color="auto" w:sz="4" w:space="0"/>
                    <w:left w:val="nil"/>
                    <w:bottom w:val="single" w:color="auto" w:sz="4" w:space="0"/>
                    <w:right w:val="single" w:color="auto" w:sz="4" w:space="0"/>
                  </w:tcBorders>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与使用方协商一致</w:t>
                  </w:r>
                </w:p>
              </w:tc>
            </w:tr>
            <w:tr>
              <w:tblPrEx>
                <w:tblLayout w:type="fixed"/>
                <w:tblCellMar>
                  <w:top w:w="0" w:type="dxa"/>
                  <w:left w:w="108" w:type="dxa"/>
                  <w:bottom w:w="0" w:type="dxa"/>
                  <w:right w:w="108" w:type="dxa"/>
                </w:tblCellMar>
              </w:tblPrEx>
              <w:trPr>
                <w:trHeight w:val="456" w:hRule="atLeast"/>
              </w:trPr>
              <w:tc>
                <w:tcPr>
                  <w:tcW w:w="120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基本级D</w:t>
                  </w:r>
                </w:p>
              </w:tc>
              <w:tc>
                <w:tcPr>
                  <w:tcW w:w="4299" w:type="dxa"/>
                  <w:tcBorders>
                    <w:top w:val="single" w:color="auto" w:sz="4" w:space="0"/>
                    <w:left w:val="nil"/>
                    <w:bottom w:val="single" w:color="auto" w:sz="4" w:space="0"/>
                    <w:right w:val="single" w:color="auto" w:sz="4" w:space="0"/>
                  </w:tcBorders>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用户对产品改进需求，或产品使用和应用方面。</w:t>
                  </w:r>
                </w:p>
              </w:tc>
              <w:tc>
                <w:tcPr>
                  <w:tcW w:w="1477" w:type="dxa"/>
                  <w:tcBorders>
                    <w:top w:val="single" w:color="auto" w:sz="4" w:space="0"/>
                    <w:left w:val="nil"/>
                    <w:bottom w:val="single" w:color="auto" w:sz="4" w:space="0"/>
                    <w:right w:val="single" w:color="auto" w:sz="4" w:space="0"/>
                  </w:tcBorders>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1-48小时内</w:t>
                  </w:r>
                </w:p>
              </w:tc>
              <w:tc>
                <w:tcPr>
                  <w:tcW w:w="1209" w:type="dxa"/>
                  <w:tcBorders>
                    <w:top w:val="single" w:color="auto" w:sz="4" w:space="0"/>
                    <w:left w:val="nil"/>
                    <w:bottom w:val="single" w:color="auto" w:sz="4" w:space="0"/>
                    <w:right w:val="single" w:color="auto" w:sz="4" w:space="0"/>
                  </w:tcBorders>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与使用方协商一致</w:t>
                  </w:r>
                </w:p>
              </w:tc>
            </w:tr>
          </w:tbl>
          <w:p>
            <w:pPr>
              <w:spacing w:line="300" w:lineRule="auto"/>
              <w:ind w:firstLine="480" w:firstLineChars="200"/>
              <w:rPr>
                <w:rFonts w:ascii="仿宋" w:hAnsi="仿宋" w:eastAsia="仿宋" w:cstheme="minorBidi"/>
                <w:sz w:val="24"/>
                <w:szCs w:val="24"/>
              </w:rPr>
            </w:pPr>
          </w:p>
        </w:tc>
      </w:tr>
    </w:tbl>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zh-CN"/>
        </w:rPr>
      </w:pPr>
      <w:r>
        <w:rPr>
          <w:rFonts w:hint="eastAsia" w:ascii="黑体" w:hAnsi="黑体" w:eastAsia="黑体" w:cs="黑体"/>
          <w:color w:val="auto"/>
          <w:sz w:val="32"/>
          <w:szCs w:val="32"/>
          <w:lang w:val="zh-CN"/>
        </w:rPr>
        <w:t>项目维护服务周期</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2022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1日</w:t>
      </w:r>
      <w:r>
        <w:rPr>
          <w:rFonts w:hint="eastAsia" w:ascii="仿宋" w:hAnsi="仿宋" w:eastAsia="仿宋" w:cs="仿宋"/>
          <w:color w:val="auto"/>
          <w:sz w:val="32"/>
          <w:szCs w:val="32"/>
        </w:rPr>
        <w:t>起一年的服务期。</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项目预算</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本项目预算为人民币</w:t>
      </w:r>
      <w:r>
        <w:rPr>
          <w:rFonts w:hint="eastAsia" w:ascii="仿宋" w:hAnsi="仿宋" w:eastAsia="仿宋" w:cs="仿宋"/>
          <w:color w:val="auto"/>
          <w:sz w:val="32"/>
          <w:szCs w:val="32"/>
        </w:rPr>
        <w:t>叁万壹仟玖佰</w:t>
      </w:r>
      <w:r>
        <w:rPr>
          <w:rFonts w:hint="eastAsia" w:ascii="仿宋" w:hAnsi="仿宋" w:eastAsia="仿宋" w:cs="仿宋"/>
          <w:color w:val="auto"/>
          <w:sz w:val="32"/>
          <w:szCs w:val="32"/>
          <w:lang w:val="zh-CN"/>
        </w:rPr>
        <w:t>元整。</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供应商资格条件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具有合法经营资格的法人或者其他组织，具有良好的信誉。具有同类项目经验及政务信息化项目管理系统著作权证书。</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确定成交供应商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若有多家供应商竞价，采购人将综合考虑供应商的服务质量、技术力量、采购信誉度、成功案例（需提供相关的证明材料）等方面进行择优选择，确定为成交供应商。</w:t>
      </w:r>
    </w:p>
    <w:p>
      <w:pPr>
        <w:pStyle w:val="8"/>
        <w:ind w:left="420"/>
        <w:rPr>
          <w:lang w:val="zh-CN"/>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PMingLiU">
    <w:panose1 w:val="02020500000000000000"/>
    <w:charset w:val="88"/>
    <w:family w:val="auto"/>
    <w:pitch w:val="default"/>
    <w:sig w:usb0="A00002FF" w:usb1="28CFFCFA" w:usb2="00000016" w:usb3="00000000" w:csb0="00100001"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BDCAD6"/>
    <w:multiLevelType w:val="singleLevel"/>
    <w:tmpl w:val="C0BDCAD6"/>
    <w:lvl w:ilvl="0" w:tentative="0">
      <w:start w:val="1"/>
      <w:numFmt w:val="decimal"/>
      <w:lvlText w:val="%1、"/>
      <w:lvlJc w:val="left"/>
      <w:pPr>
        <w:tabs>
          <w:tab w:val="left" w:pos="312"/>
        </w:tabs>
      </w:pPr>
      <w:rPr>
        <w:rFonts w:ascii="仿宋" w:hAnsi="仿宋" w:eastAsia="仿宋" w:cstheme="minorBidi"/>
      </w:rPr>
    </w:lvl>
  </w:abstractNum>
  <w:abstractNum w:abstractNumId="1">
    <w:nsid w:val="FC7EBE10"/>
    <w:multiLevelType w:val="singleLevel"/>
    <w:tmpl w:val="FC7EBE1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jZTdmNDQ5YTM5ZmExZmYxMDExZmFjZjljYTNlZDgifQ=="/>
  </w:docVars>
  <w:rsids>
    <w:rsidRoot w:val="74531B0F"/>
    <w:rsid w:val="00024816"/>
    <w:rsid w:val="00033240"/>
    <w:rsid w:val="00225627"/>
    <w:rsid w:val="002D569F"/>
    <w:rsid w:val="00323492"/>
    <w:rsid w:val="00333389"/>
    <w:rsid w:val="004D52E9"/>
    <w:rsid w:val="006B5A16"/>
    <w:rsid w:val="0081065E"/>
    <w:rsid w:val="008D03EB"/>
    <w:rsid w:val="00B26B45"/>
    <w:rsid w:val="00B43273"/>
    <w:rsid w:val="00BF0622"/>
    <w:rsid w:val="00D3721A"/>
    <w:rsid w:val="036C0BEA"/>
    <w:rsid w:val="055D222F"/>
    <w:rsid w:val="088210AA"/>
    <w:rsid w:val="08B52BC0"/>
    <w:rsid w:val="0C8E0534"/>
    <w:rsid w:val="0F8F6A2A"/>
    <w:rsid w:val="102A19BC"/>
    <w:rsid w:val="10B71639"/>
    <w:rsid w:val="11561326"/>
    <w:rsid w:val="15000C07"/>
    <w:rsid w:val="1D646B79"/>
    <w:rsid w:val="1E85324A"/>
    <w:rsid w:val="201237A1"/>
    <w:rsid w:val="23C91DC7"/>
    <w:rsid w:val="251B46E0"/>
    <w:rsid w:val="264C77E2"/>
    <w:rsid w:val="2AF23A16"/>
    <w:rsid w:val="2B5B0B52"/>
    <w:rsid w:val="2CBF50BF"/>
    <w:rsid w:val="2F7075FF"/>
    <w:rsid w:val="2F883D9F"/>
    <w:rsid w:val="2FD30669"/>
    <w:rsid w:val="30822F82"/>
    <w:rsid w:val="3208131B"/>
    <w:rsid w:val="334131D3"/>
    <w:rsid w:val="335E6CEC"/>
    <w:rsid w:val="349F69BC"/>
    <w:rsid w:val="35FF4995"/>
    <w:rsid w:val="376B527C"/>
    <w:rsid w:val="394564EF"/>
    <w:rsid w:val="3B005CDB"/>
    <w:rsid w:val="3F115748"/>
    <w:rsid w:val="42AA4A0A"/>
    <w:rsid w:val="42F8478B"/>
    <w:rsid w:val="430400AA"/>
    <w:rsid w:val="44827761"/>
    <w:rsid w:val="46F543B8"/>
    <w:rsid w:val="493C25D4"/>
    <w:rsid w:val="49E2286F"/>
    <w:rsid w:val="4BC16A36"/>
    <w:rsid w:val="4C380FDF"/>
    <w:rsid w:val="4E006AFF"/>
    <w:rsid w:val="509946DA"/>
    <w:rsid w:val="50BB6EA5"/>
    <w:rsid w:val="524A3079"/>
    <w:rsid w:val="52C43394"/>
    <w:rsid w:val="56230B3D"/>
    <w:rsid w:val="56C66CC8"/>
    <w:rsid w:val="578F4217"/>
    <w:rsid w:val="5E9020F1"/>
    <w:rsid w:val="63572933"/>
    <w:rsid w:val="6554084E"/>
    <w:rsid w:val="65BE1B6A"/>
    <w:rsid w:val="685D6CD6"/>
    <w:rsid w:val="6939728B"/>
    <w:rsid w:val="6B153AF6"/>
    <w:rsid w:val="6DF365FF"/>
    <w:rsid w:val="71D61ED6"/>
    <w:rsid w:val="74531B0F"/>
    <w:rsid w:val="76A43029"/>
    <w:rsid w:val="7A602571"/>
    <w:rsid w:val="7B0C0269"/>
    <w:rsid w:val="7E365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cs="Times New Roman" w:eastAsiaTheme="minorEastAsia"/>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9">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5">
    <w:name w:val="Normal Indent"/>
    <w:basedOn w:val="1"/>
    <w:qFormat/>
    <w:uiPriority w:val="0"/>
    <w:pPr>
      <w:ind w:firstLine="420" w:firstLineChars="200"/>
    </w:pPr>
  </w:style>
  <w:style w:type="paragraph" w:styleId="6">
    <w:name w:val="footer"/>
    <w:basedOn w:val="1"/>
    <w:unhideWhenUsed/>
    <w:qFormat/>
    <w:uiPriority w:val="99"/>
    <w:pPr>
      <w:tabs>
        <w:tab w:val="center" w:pos="4153"/>
        <w:tab w:val="right" w:pos="8306"/>
      </w:tabs>
      <w:snapToGrid w:val="0"/>
      <w:jc w:val="left"/>
    </w:pPr>
    <w:rPr>
      <w:rFonts w:asciiTheme="minorHAnsi" w:hAnsiTheme="minorHAnsi" w:cstheme="minorBidi"/>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8">
    <w:name w:val="toc 2"/>
    <w:basedOn w:val="1"/>
    <w:next w:val="1"/>
    <w:unhideWhenUsed/>
    <w:qFormat/>
    <w:uiPriority w:val="39"/>
    <w:pPr>
      <w:spacing w:after="156"/>
      <w:ind w:left="480" w:leftChars="200"/>
    </w:pPr>
  </w:style>
  <w:style w:type="paragraph" w:customStyle="1" w:styleId="11">
    <w:name w:val="列表段落1"/>
    <w:basedOn w:val="1"/>
    <w:unhideWhenUsed/>
    <w:qFormat/>
    <w:uiPriority w:val="34"/>
    <w:pPr>
      <w:ind w:firstLine="420" w:firstLineChars="200"/>
    </w:pPr>
    <w:rPr>
      <w:rFonts w:eastAsia="宋体"/>
      <w:szCs w:val="24"/>
    </w:rPr>
  </w:style>
  <w:style w:type="paragraph" w:customStyle="1" w:styleId="12">
    <w:name w:val="_Style 97"/>
    <w:basedOn w:val="1"/>
    <w:next w:val="11"/>
    <w:qFormat/>
    <w:uiPriority w:val="0"/>
    <w:pPr>
      <w:ind w:firstLine="420" w:firstLineChars="200"/>
    </w:pPr>
  </w:style>
  <w:style w:type="paragraph" w:customStyle="1" w:styleId="13">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列表段落11"/>
    <w:basedOn w:val="1"/>
    <w:unhideWhenUsed/>
    <w:qFormat/>
    <w:uiPriority w:val="34"/>
    <w:pPr>
      <w:ind w:firstLine="420" w:firstLineChars="200"/>
    </w:pPr>
    <w:rPr>
      <w:rFonts w:eastAsia="宋体"/>
    </w:rPr>
  </w:style>
  <w:style w:type="paragraph" w:customStyle="1" w:styleId="15">
    <w:name w:val="Body text|21"/>
    <w:basedOn w:val="1"/>
    <w:qFormat/>
    <w:uiPriority w:val="0"/>
    <w:pPr>
      <w:shd w:val="clear" w:color="auto" w:fill="FFFFFF"/>
      <w:spacing w:before="300" w:line="605" w:lineRule="exact"/>
      <w:jc w:val="distribute"/>
    </w:pPr>
    <w:rPr>
      <w:rFonts w:ascii="PMingLiU" w:hAnsi="PMingLiU" w:eastAsia="PMingLiU" w:cs="PMingLiU"/>
      <w:spacing w:val="30"/>
      <w:sz w:val="30"/>
      <w:szCs w:val="30"/>
    </w:rPr>
  </w:style>
  <w:style w:type="paragraph" w:customStyle="1" w:styleId="16">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character" w:customStyle="1" w:styleId="17">
    <w:name w:val="unnamed11"/>
    <w:qFormat/>
    <w:uiPriority w:val="0"/>
    <w:rPr>
      <w:sz w:val="18"/>
      <w:szCs w:val="18"/>
    </w:rPr>
  </w:style>
  <w:style w:type="paragraph" w:styleId="18">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4886</Words>
  <Characters>269</Characters>
  <Lines>2</Lines>
  <Paragraphs>10</Paragraphs>
  <TotalTime>7</TotalTime>
  <ScaleCrop>false</ScaleCrop>
  <LinksUpToDate>false</LinksUpToDate>
  <CharactersWithSpaces>5145</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2022-10-18T03:35:00Z</dcterms:created>
  <dc:creator>LIN</dc:creator>
  <cp:lastModifiedBy>Administrator</cp:lastModifiedBy>
  <cp:lastPrinted>2022-09-27T03:06:00Z</cp:lastPrinted>
  <dcterms:modified xsi:type="dcterms:W3CDTF">2022-10-25T03:49:24Z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83A5D0F788CA4BA8A968E511DEB9F141</vt:lpwstr>
  </property>
  <property fmtid="{D5CDD505-2E9C-101B-9397-08002B2CF9AE}" pid="4" name="ribbonExt">
    <vt:lpwstr>{"WPSExtOfficeTab":{"OnGetEnabled":false,"OnGetVisible":false}}</vt:lpwstr>
  </property>
</Properties>
</file>