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EE7950">
      <w:pPr>
        <w:jc w:val="center"/>
        <w:rPr>
          <w:rFonts w:ascii="方正小标宋简体" w:eastAsia="方正小标宋简体" w:hAnsi="Calibri" w:cs="宋体"/>
          <w:color w:val="000000" w:themeColor="text1"/>
          <w:sz w:val="44"/>
          <w:szCs w:val="44"/>
        </w:rPr>
      </w:pPr>
      <w:r>
        <w:rPr>
          <w:rFonts w:ascii="方正小标宋简体" w:eastAsia="方正小标宋简体" w:hAnsi="Calibri" w:cs="宋体" w:hint="eastAsia"/>
          <w:color w:val="000000" w:themeColor="text1"/>
          <w:sz w:val="44"/>
          <w:szCs w:val="44"/>
        </w:rPr>
        <w:t>开平市卫生与健康事业发展“十四五”规划</w:t>
      </w:r>
    </w:p>
    <w:p w:rsidR="00D70FB0" w:rsidRDefault="00EE7950">
      <w:pPr>
        <w:jc w:val="center"/>
        <w:rPr>
          <w:rFonts w:ascii="方正小标宋简体" w:eastAsia="方正小标宋简体" w:hAnsi="Calibri" w:cs="宋体"/>
          <w:color w:val="000000" w:themeColor="text1"/>
          <w:sz w:val="44"/>
          <w:szCs w:val="44"/>
        </w:rPr>
      </w:pPr>
      <w:r>
        <w:rPr>
          <w:rFonts w:ascii="方正小标宋简体" w:eastAsia="方正小标宋简体" w:hAnsi="Calibri" w:cs="宋体" w:hint="eastAsia"/>
          <w:color w:val="000000" w:themeColor="text1"/>
          <w:sz w:val="44"/>
          <w:szCs w:val="44"/>
        </w:rPr>
        <w:t>（</w:t>
      </w:r>
      <w:r>
        <w:rPr>
          <w:rFonts w:ascii="方正小标宋简体" w:eastAsia="方正小标宋简体" w:hAnsi="Calibri" w:cs="宋体" w:hint="eastAsia"/>
          <w:color w:val="000000" w:themeColor="text1"/>
          <w:sz w:val="44"/>
          <w:szCs w:val="44"/>
        </w:rPr>
        <w:t>专家论证后第一</w:t>
      </w:r>
      <w:r>
        <w:rPr>
          <w:rFonts w:ascii="方正小标宋简体" w:eastAsia="方正小标宋简体" w:hAnsi="Calibri" w:cs="宋体" w:hint="eastAsia"/>
          <w:color w:val="000000" w:themeColor="text1"/>
          <w:sz w:val="44"/>
          <w:szCs w:val="44"/>
        </w:rPr>
        <w:t>稿）</w:t>
      </w: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D70FB0">
      <w:pPr>
        <w:snapToGrid w:val="0"/>
        <w:spacing w:line="550" w:lineRule="exact"/>
        <w:jc w:val="center"/>
        <w:rPr>
          <w:rFonts w:ascii="宋体" w:eastAsia="宋体" w:hAnsi="宋体" w:cs="宋体"/>
          <w:b/>
          <w:snapToGrid w:val="0"/>
          <w:sz w:val="44"/>
          <w:szCs w:val="44"/>
        </w:rPr>
      </w:pPr>
    </w:p>
    <w:p w:rsidR="00D70FB0" w:rsidRDefault="00EE7950">
      <w:pPr>
        <w:jc w:val="center"/>
        <w:rPr>
          <w:rFonts w:ascii="仿宋_GB2312" w:eastAsia="仿宋_GB2312"/>
          <w:sz w:val="32"/>
          <w:szCs w:val="36"/>
        </w:rPr>
      </w:pPr>
      <w:r>
        <w:rPr>
          <w:rFonts w:ascii="仿宋_GB2312" w:eastAsia="仿宋_GB2312" w:hint="eastAsia"/>
          <w:sz w:val="32"/>
          <w:szCs w:val="36"/>
        </w:rPr>
        <w:t>2021</w:t>
      </w:r>
      <w:r>
        <w:rPr>
          <w:rFonts w:ascii="仿宋_GB2312" w:eastAsia="仿宋_GB2312" w:hint="eastAsia"/>
          <w:sz w:val="32"/>
          <w:szCs w:val="36"/>
        </w:rPr>
        <w:t>年</w:t>
      </w:r>
      <w:r>
        <w:rPr>
          <w:rFonts w:ascii="仿宋_GB2312" w:eastAsia="仿宋_GB2312" w:hint="eastAsia"/>
          <w:sz w:val="32"/>
          <w:szCs w:val="36"/>
        </w:rPr>
        <w:t>11</w:t>
      </w:r>
      <w:r>
        <w:rPr>
          <w:rFonts w:ascii="仿宋_GB2312" w:eastAsia="仿宋_GB2312" w:hint="eastAsia"/>
          <w:sz w:val="32"/>
          <w:szCs w:val="36"/>
        </w:rPr>
        <w:t>月</w:t>
      </w:r>
      <w:r>
        <w:rPr>
          <w:rFonts w:ascii="仿宋_GB2312" w:eastAsia="仿宋_GB2312" w:hint="eastAsia"/>
          <w:sz w:val="32"/>
          <w:szCs w:val="36"/>
        </w:rPr>
        <w:t>15</w:t>
      </w:r>
      <w:r>
        <w:rPr>
          <w:rFonts w:ascii="仿宋_GB2312" w:eastAsia="仿宋_GB2312" w:hint="eastAsia"/>
          <w:sz w:val="32"/>
          <w:szCs w:val="36"/>
        </w:rPr>
        <w:t>日</w:t>
      </w:r>
    </w:p>
    <w:sdt>
      <w:sdtPr>
        <w:rPr>
          <w:rFonts w:asciiTheme="minorHAnsi" w:eastAsiaTheme="minorEastAsia" w:hAnsiTheme="minorHAnsi" w:cstheme="minorBidi"/>
          <w:color w:val="auto"/>
          <w:kern w:val="2"/>
          <w:sz w:val="21"/>
          <w:szCs w:val="22"/>
          <w:lang w:val="zh-CN"/>
        </w:rPr>
        <w:id w:val="-1611964605"/>
        <w:docPartObj>
          <w:docPartGallery w:val="Table of Contents"/>
          <w:docPartUnique/>
        </w:docPartObj>
      </w:sdtPr>
      <w:sdtEndPr/>
      <w:sdtContent>
        <w:p w:rsidR="00D70FB0" w:rsidRDefault="00EE7950">
          <w:pPr>
            <w:pStyle w:val="TOC2"/>
            <w:jc w:val="center"/>
          </w:pPr>
          <w:r>
            <w:rPr>
              <w:rFonts w:ascii="Times New Roman" w:eastAsia="宋体" w:hAnsi="Times New Roman" w:cs="Times New Roman"/>
              <w:color w:val="auto"/>
              <w:kern w:val="2"/>
              <w:sz w:val="36"/>
              <w:szCs w:val="36"/>
            </w:rPr>
            <w:t>目录</w:t>
          </w:r>
        </w:p>
        <w:p w:rsidR="00D70FB0" w:rsidRDefault="00EE7950">
          <w:pPr>
            <w:pStyle w:val="10"/>
            <w:tabs>
              <w:tab w:val="right" w:leader="dot" w:pos="8296"/>
            </w:tabs>
            <w:spacing w:line="420" w:lineRule="exact"/>
            <w:rPr>
              <w:rFonts w:ascii="楷体" w:eastAsia="楷体" w:hAnsi="楷体" w:cstheme="minorBidi"/>
              <w:sz w:val="28"/>
              <w:szCs w:val="28"/>
            </w:rPr>
          </w:pPr>
          <w:r>
            <w:rPr>
              <w:sz w:val="24"/>
              <w:szCs w:val="24"/>
            </w:rPr>
            <w:fldChar w:fldCharType="begin"/>
          </w:r>
          <w:r>
            <w:rPr>
              <w:sz w:val="24"/>
              <w:szCs w:val="24"/>
            </w:rPr>
            <w:instrText xml:space="preserve"> TOC \o "1-3" \h \z \u </w:instrText>
          </w:r>
          <w:r>
            <w:rPr>
              <w:sz w:val="24"/>
              <w:szCs w:val="24"/>
            </w:rPr>
            <w:fldChar w:fldCharType="separate"/>
          </w:r>
          <w:hyperlink w:anchor="_Toc84804933" w:history="1">
            <w:r>
              <w:rPr>
                <w:rStyle w:val="ab"/>
                <w:rFonts w:ascii="楷体" w:eastAsia="楷体" w:hAnsi="楷体"/>
                <w:sz w:val="28"/>
                <w:szCs w:val="28"/>
              </w:rPr>
              <w:t>一、规划背景</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_Toc84804933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34" w:history="1">
            <w:r>
              <w:rPr>
                <w:rStyle w:val="ab"/>
                <w:rFonts w:ascii="楷体" w:eastAsia="楷体" w:hAnsi="楷体"/>
                <w:sz w:val="28"/>
                <w:szCs w:val="28"/>
              </w:rPr>
              <w:t>（一）基础现状</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_Toc84804934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35" w:history="1">
            <w:r>
              <w:rPr>
                <w:rStyle w:val="ab"/>
                <w:rFonts w:ascii="楷体" w:eastAsia="楷体" w:hAnsi="楷体"/>
                <w:sz w:val="28"/>
                <w:szCs w:val="28"/>
              </w:rPr>
              <w:t>（二）形势与挑战</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_Toc84804935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8</w:t>
            </w:r>
            <w:r>
              <w:rPr>
                <w:rFonts w:ascii="楷体" w:eastAsia="楷体" w:hAnsi="楷体"/>
                <w:sz w:val="28"/>
                <w:szCs w:val="28"/>
              </w:rPr>
              <w:fldChar w:fldCharType="end"/>
            </w:r>
          </w:hyperlink>
        </w:p>
        <w:p w:rsidR="00D70FB0" w:rsidRDefault="00EE7950">
          <w:pPr>
            <w:pStyle w:val="10"/>
            <w:tabs>
              <w:tab w:val="right" w:leader="dot" w:pos="8296"/>
            </w:tabs>
            <w:spacing w:line="420" w:lineRule="exact"/>
            <w:rPr>
              <w:rFonts w:ascii="楷体" w:eastAsia="楷体" w:hAnsi="楷体" w:cstheme="minorBidi"/>
              <w:sz w:val="28"/>
              <w:szCs w:val="28"/>
            </w:rPr>
          </w:pPr>
          <w:hyperlink w:anchor="_Toc84804936" w:history="1">
            <w:r>
              <w:rPr>
                <w:rStyle w:val="ab"/>
                <w:rFonts w:ascii="楷体" w:eastAsia="楷体" w:hAnsi="楷体"/>
                <w:sz w:val="28"/>
                <w:szCs w:val="28"/>
              </w:rPr>
              <w:t>二、总体要求</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w:instrText>
            </w:r>
            <w:r>
              <w:rPr>
                <w:rFonts w:ascii="楷体" w:eastAsia="楷体" w:hAnsi="楷体"/>
                <w:sz w:val="28"/>
                <w:szCs w:val="28"/>
              </w:rPr>
              <w:instrText xml:space="preserve">36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10</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37" w:history="1">
            <w:r>
              <w:rPr>
                <w:rStyle w:val="ab"/>
                <w:rFonts w:ascii="楷体" w:eastAsia="楷体" w:hAnsi="楷体"/>
                <w:sz w:val="28"/>
                <w:szCs w:val="28"/>
              </w:rPr>
              <w:t>（一）指导思想</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_Toc84804937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10</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38" w:history="1">
            <w:r>
              <w:rPr>
                <w:rStyle w:val="ab"/>
                <w:rFonts w:ascii="楷体" w:eastAsia="楷体" w:hAnsi="楷体"/>
                <w:sz w:val="28"/>
                <w:szCs w:val="28"/>
              </w:rPr>
              <w:t>（二）基本原则</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w:instrText>
            </w:r>
            <w:r>
              <w:rPr>
                <w:rFonts w:ascii="楷体" w:eastAsia="楷体" w:hAnsi="楷体"/>
                <w:sz w:val="28"/>
                <w:szCs w:val="28"/>
              </w:rPr>
              <w:instrText xml:space="preserve">EF _Toc84804938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11</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39" w:history="1">
            <w:r>
              <w:rPr>
                <w:rStyle w:val="ab"/>
                <w:rFonts w:ascii="楷体" w:eastAsia="楷体" w:hAnsi="楷体"/>
                <w:sz w:val="28"/>
                <w:szCs w:val="28"/>
              </w:rPr>
              <w:t>（三）规划依据</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_Toc84804939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12</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40" w:history="1">
            <w:r>
              <w:rPr>
                <w:rStyle w:val="ab"/>
                <w:rFonts w:ascii="楷体" w:eastAsia="楷体" w:hAnsi="楷体"/>
                <w:sz w:val="28"/>
                <w:szCs w:val="28"/>
              </w:rPr>
              <w:t>（四）发展目标</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_Toc84804940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12</w:t>
            </w:r>
            <w:r>
              <w:rPr>
                <w:rFonts w:ascii="楷体" w:eastAsia="楷体" w:hAnsi="楷体"/>
                <w:sz w:val="28"/>
                <w:szCs w:val="28"/>
              </w:rPr>
              <w:fldChar w:fldCharType="end"/>
            </w:r>
          </w:hyperlink>
        </w:p>
        <w:p w:rsidR="00D70FB0" w:rsidRDefault="00EE7950">
          <w:pPr>
            <w:pStyle w:val="10"/>
            <w:tabs>
              <w:tab w:val="right" w:leader="dot" w:pos="8296"/>
            </w:tabs>
            <w:spacing w:line="420" w:lineRule="exact"/>
            <w:rPr>
              <w:rFonts w:ascii="楷体" w:eastAsia="楷体" w:hAnsi="楷体" w:cstheme="minorBidi"/>
              <w:sz w:val="28"/>
              <w:szCs w:val="28"/>
            </w:rPr>
          </w:pPr>
          <w:hyperlink w:anchor="_Toc84804941" w:history="1">
            <w:r>
              <w:rPr>
                <w:rStyle w:val="ab"/>
                <w:rFonts w:ascii="楷体" w:eastAsia="楷体" w:hAnsi="楷体"/>
                <w:sz w:val="28"/>
                <w:szCs w:val="28"/>
              </w:rPr>
              <w:t>三、主要任务</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_Toc84804941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15</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42" w:history="1">
            <w:r>
              <w:rPr>
                <w:rStyle w:val="ab"/>
                <w:rFonts w:ascii="楷体" w:eastAsia="楷体" w:hAnsi="楷体"/>
                <w:sz w:val="28"/>
                <w:szCs w:val="28"/>
              </w:rPr>
              <w:t>（一）构建强大公共卫生体系</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_Toc84804942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15</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43" w:history="1">
            <w:r>
              <w:rPr>
                <w:rStyle w:val="ab"/>
                <w:rFonts w:ascii="楷体" w:eastAsia="楷体" w:hAnsi="楷体" w:cs="黑体"/>
                <w:sz w:val="28"/>
                <w:szCs w:val="28"/>
              </w:rPr>
              <w:t>1.</w:t>
            </w:r>
            <w:r>
              <w:rPr>
                <w:rStyle w:val="ab"/>
                <w:rFonts w:ascii="楷体" w:eastAsia="楷体" w:hAnsi="楷体" w:cs="黑体"/>
                <w:sz w:val="28"/>
                <w:szCs w:val="28"/>
              </w:rPr>
              <w:t>推进疾控体系现代化建设</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_Toc84804943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15</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44" w:history="1">
            <w:r>
              <w:rPr>
                <w:rStyle w:val="ab"/>
                <w:rFonts w:ascii="楷体" w:eastAsia="楷体" w:hAnsi="楷体" w:cs="黑体"/>
                <w:sz w:val="28"/>
                <w:szCs w:val="28"/>
              </w:rPr>
              <w:t>2.</w:t>
            </w:r>
            <w:r>
              <w:rPr>
                <w:rStyle w:val="ab"/>
                <w:rFonts w:ascii="楷体" w:eastAsia="楷体" w:hAnsi="楷体" w:cs="黑体"/>
                <w:sz w:val="28"/>
                <w:szCs w:val="28"/>
              </w:rPr>
              <w:t>推进卫生应急管理体系和能力现代化</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_Toc84804944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15</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45" w:history="1">
            <w:r>
              <w:rPr>
                <w:rStyle w:val="ab"/>
                <w:rFonts w:ascii="楷体" w:eastAsia="楷体" w:hAnsi="楷体" w:cs="黑体"/>
                <w:sz w:val="28"/>
                <w:szCs w:val="28"/>
              </w:rPr>
              <w:t>3.</w:t>
            </w:r>
            <w:r>
              <w:rPr>
                <w:rStyle w:val="ab"/>
                <w:rFonts w:ascii="楷体" w:eastAsia="楷体" w:hAnsi="楷体" w:cs="黑体"/>
                <w:sz w:val="28"/>
                <w:szCs w:val="28"/>
              </w:rPr>
              <w:t>健全重大疫情救治体系</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_Toc84804945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16</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46" w:history="1">
            <w:r>
              <w:rPr>
                <w:rStyle w:val="ab"/>
                <w:rFonts w:ascii="楷体" w:eastAsia="楷体" w:hAnsi="楷体" w:cs="黑体"/>
                <w:sz w:val="28"/>
                <w:szCs w:val="28"/>
              </w:rPr>
              <w:t>4.</w:t>
            </w:r>
            <w:r>
              <w:rPr>
                <w:rStyle w:val="ab"/>
                <w:rFonts w:ascii="楷体" w:eastAsia="楷体" w:hAnsi="楷体" w:cs="黑体"/>
                <w:sz w:val="28"/>
                <w:szCs w:val="28"/>
              </w:rPr>
              <w:t>创新医防协同机制</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w:instrText>
            </w:r>
            <w:r>
              <w:rPr>
                <w:rStyle w:val="ab"/>
                <w:rFonts w:ascii="楷体" w:eastAsia="楷体" w:hAnsi="楷体" w:cs="黑体"/>
                <w:sz w:val="28"/>
                <w:szCs w:val="28"/>
              </w:rPr>
              <w:instrText xml:space="preserve">_Toc84804946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17</w:t>
            </w:r>
            <w:r>
              <w:rPr>
                <w:rStyle w:val="ab"/>
                <w:rFonts w:ascii="楷体" w:eastAsia="楷体" w:hAnsi="楷体" w:cs="黑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47" w:history="1">
            <w:r>
              <w:rPr>
                <w:rStyle w:val="ab"/>
                <w:rFonts w:ascii="楷体" w:eastAsia="楷体" w:hAnsi="楷体"/>
                <w:sz w:val="28"/>
                <w:szCs w:val="28"/>
              </w:rPr>
              <w:t>（二）巩固优化医疗卫生大格局</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_Toc84804947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18</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48" w:history="1">
            <w:r>
              <w:rPr>
                <w:rStyle w:val="ab"/>
                <w:rFonts w:ascii="楷体" w:eastAsia="楷体" w:hAnsi="楷体" w:cs="黑体"/>
                <w:sz w:val="28"/>
                <w:szCs w:val="28"/>
              </w:rPr>
              <w:t>1.</w:t>
            </w:r>
            <w:r>
              <w:rPr>
                <w:rStyle w:val="ab"/>
                <w:rFonts w:ascii="楷体" w:eastAsia="楷体" w:hAnsi="楷体" w:cs="黑体"/>
                <w:sz w:val="28"/>
                <w:szCs w:val="28"/>
              </w:rPr>
              <w:t>加快优质医疗资源扩容和均衡布局</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_Toc84804948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18</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49" w:history="1">
            <w:r>
              <w:rPr>
                <w:rStyle w:val="ab"/>
                <w:rFonts w:ascii="楷体" w:eastAsia="楷体" w:hAnsi="楷体" w:cs="楷体"/>
                <w:sz w:val="28"/>
                <w:szCs w:val="28"/>
              </w:rPr>
              <w:t>2.</w:t>
            </w:r>
            <w:r>
              <w:rPr>
                <w:rStyle w:val="ab"/>
                <w:rFonts w:ascii="楷体" w:eastAsia="楷体" w:hAnsi="楷体" w:cs="楷体"/>
                <w:sz w:val="28"/>
                <w:szCs w:val="28"/>
              </w:rPr>
              <w:t>进一步提升医疗服务能力</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_Toc84804949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19</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0" w:history="1">
            <w:r>
              <w:rPr>
                <w:rStyle w:val="ab"/>
                <w:rFonts w:ascii="楷体" w:eastAsia="楷体" w:hAnsi="楷体" w:cs="黑体"/>
                <w:sz w:val="28"/>
                <w:szCs w:val="28"/>
              </w:rPr>
              <w:t>3.</w:t>
            </w:r>
            <w:r>
              <w:rPr>
                <w:rStyle w:val="ab"/>
                <w:rFonts w:ascii="楷体" w:eastAsia="楷体" w:hAnsi="楷体" w:cs="黑体"/>
                <w:sz w:val="28"/>
                <w:szCs w:val="28"/>
              </w:rPr>
              <w:t>巩固基层医疗卫生服务网底</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_Toc84804950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19</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1" w:history="1">
            <w:r>
              <w:rPr>
                <w:rStyle w:val="ab"/>
                <w:rFonts w:ascii="楷体" w:eastAsia="楷体" w:hAnsi="楷体" w:cs="黑体"/>
                <w:sz w:val="28"/>
                <w:szCs w:val="28"/>
              </w:rPr>
              <w:t>4.</w:t>
            </w:r>
            <w:r>
              <w:rPr>
                <w:rStyle w:val="ab"/>
                <w:rFonts w:ascii="楷体" w:eastAsia="楷体" w:hAnsi="楷体" w:cs="黑体"/>
                <w:sz w:val="28"/>
                <w:szCs w:val="28"/>
              </w:rPr>
              <w:t>改善优化医疗卫生服务</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_Toc84804951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20</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52" w:history="1">
            <w:r>
              <w:rPr>
                <w:rStyle w:val="ab"/>
                <w:rFonts w:ascii="楷体" w:eastAsia="楷体" w:hAnsi="楷体"/>
                <w:sz w:val="28"/>
                <w:szCs w:val="28"/>
              </w:rPr>
              <w:t>（三）全方位干预主要健康问题</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_Toc84804952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21</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3" w:history="1">
            <w:r>
              <w:rPr>
                <w:rStyle w:val="ab"/>
                <w:rFonts w:ascii="楷体" w:eastAsia="楷体" w:hAnsi="楷体" w:cs="黑体"/>
                <w:sz w:val="28"/>
                <w:szCs w:val="28"/>
              </w:rPr>
              <w:t>1.</w:t>
            </w:r>
            <w:r>
              <w:rPr>
                <w:rStyle w:val="ab"/>
                <w:rFonts w:ascii="楷体" w:eastAsia="楷体" w:hAnsi="楷体" w:cs="黑体"/>
                <w:sz w:val="28"/>
                <w:szCs w:val="28"/>
              </w:rPr>
              <w:t>推进健康开平行动</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_Toc84804953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21</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4" w:history="1">
            <w:r>
              <w:rPr>
                <w:rStyle w:val="ab"/>
                <w:rFonts w:ascii="楷体" w:eastAsia="楷体" w:hAnsi="楷体" w:cs="黑体"/>
                <w:sz w:val="28"/>
                <w:szCs w:val="28"/>
              </w:rPr>
              <w:t>2.</w:t>
            </w:r>
            <w:r>
              <w:rPr>
                <w:rStyle w:val="ab"/>
                <w:rFonts w:ascii="楷体" w:eastAsia="楷体" w:hAnsi="楷体" w:cs="黑体"/>
                <w:sz w:val="28"/>
                <w:szCs w:val="28"/>
              </w:rPr>
              <w:t>加强健康促进与教育</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w:instrText>
            </w:r>
            <w:r>
              <w:rPr>
                <w:rFonts w:ascii="楷体" w:eastAsia="楷体" w:hAnsi="楷体"/>
                <w:sz w:val="28"/>
                <w:szCs w:val="28"/>
              </w:rPr>
              <w:instrText xml:space="preserve">Toc84804954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21</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5" w:history="1">
            <w:r>
              <w:rPr>
                <w:rStyle w:val="ab"/>
                <w:rFonts w:ascii="楷体" w:eastAsia="楷体" w:hAnsi="楷体" w:cs="黑体"/>
                <w:sz w:val="28"/>
                <w:szCs w:val="28"/>
              </w:rPr>
              <w:t>3.</w:t>
            </w:r>
            <w:r>
              <w:rPr>
                <w:rStyle w:val="ab"/>
                <w:rFonts w:ascii="楷体" w:eastAsia="楷体" w:hAnsi="楷体" w:cs="黑体"/>
                <w:sz w:val="28"/>
                <w:szCs w:val="28"/>
              </w:rPr>
              <w:t>深入开展爱国卫生运动</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_Toc84804955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22</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6" w:history="1">
            <w:r>
              <w:rPr>
                <w:rStyle w:val="ab"/>
                <w:rFonts w:ascii="楷体" w:eastAsia="楷体" w:hAnsi="楷体" w:cs="黑体"/>
                <w:sz w:val="28"/>
                <w:szCs w:val="28"/>
              </w:rPr>
              <w:t>4.</w:t>
            </w:r>
            <w:r>
              <w:rPr>
                <w:rStyle w:val="ab"/>
                <w:rFonts w:ascii="楷体" w:eastAsia="楷体" w:hAnsi="楷体" w:cs="黑体"/>
                <w:sz w:val="28"/>
                <w:szCs w:val="28"/>
              </w:rPr>
              <w:t>强化食品安全和营养健康</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_Toc84804956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23</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7" w:history="1">
            <w:r>
              <w:rPr>
                <w:rStyle w:val="ab"/>
                <w:rFonts w:ascii="楷体" w:eastAsia="楷体" w:hAnsi="楷体" w:cs="黑体"/>
                <w:sz w:val="28"/>
                <w:szCs w:val="28"/>
              </w:rPr>
              <w:t>5.</w:t>
            </w:r>
            <w:r>
              <w:rPr>
                <w:rStyle w:val="ab"/>
                <w:rFonts w:ascii="楷体" w:eastAsia="楷体" w:hAnsi="楷体" w:cs="黑体"/>
                <w:sz w:val="28"/>
                <w:szCs w:val="28"/>
              </w:rPr>
              <w:t>完善全民健身公共服务体系</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_Toc84804957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23</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8" w:history="1">
            <w:r>
              <w:rPr>
                <w:rStyle w:val="ab"/>
                <w:rFonts w:ascii="楷体" w:eastAsia="楷体" w:hAnsi="楷体" w:cs="黑体"/>
                <w:sz w:val="28"/>
                <w:szCs w:val="28"/>
              </w:rPr>
              <w:t>6.</w:t>
            </w:r>
            <w:r>
              <w:rPr>
                <w:rStyle w:val="ab"/>
                <w:rFonts w:ascii="楷体" w:eastAsia="楷体" w:hAnsi="楷体" w:cs="黑体"/>
                <w:sz w:val="28"/>
                <w:szCs w:val="28"/>
              </w:rPr>
              <w:t>强化重点疾病健康管理</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_Toc84804958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24</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59" w:history="1">
            <w:r>
              <w:rPr>
                <w:rStyle w:val="ab"/>
                <w:rFonts w:ascii="楷体" w:eastAsia="楷体" w:hAnsi="楷体" w:cs="黑体"/>
                <w:sz w:val="28"/>
                <w:szCs w:val="28"/>
              </w:rPr>
              <w:t>7.</w:t>
            </w:r>
            <w:r>
              <w:rPr>
                <w:rStyle w:val="ab"/>
                <w:rFonts w:ascii="楷体" w:eastAsia="楷体" w:hAnsi="楷体" w:cs="黑体"/>
                <w:sz w:val="28"/>
                <w:szCs w:val="28"/>
              </w:rPr>
              <w:t>加强伤害预防和干预</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w:instrText>
            </w:r>
            <w:r>
              <w:rPr>
                <w:rFonts w:ascii="楷体" w:eastAsia="楷体" w:hAnsi="楷体"/>
                <w:sz w:val="28"/>
                <w:szCs w:val="28"/>
              </w:rPr>
              <w:instrText xml:space="preserve"> _Toc84804959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25</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60" w:history="1">
            <w:r>
              <w:rPr>
                <w:rStyle w:val="ab"/>
                <w:rFonts w:ascii="楷体" w:eastAsia="楷体" w:hAnsi="楷体"/>
                <w:sz w:val="28"/>
                <w:szCs w:val="28"/>
              </w:rPr>
              <w:t>（四）保障人民生命全周期健康</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_Toc84804960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26</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1" w:history="1">
            <w:r>
              <w:rPr>
                <w:rStyle w:val="ab"/>
                <w:rFonts w:ascii="楷体" w:eastAsia="楷体" w:hAnsi="楷体" w:cs="黑体"/>
                <w:sz w:val="28"/>
                <w:szCs w:val="28"/>
              </w:rPr>
              <w:t>1.</w:t>
            </w:r>
            <w:r>
              <w:rPr>
                <w:rStyle w:val="ab"/>
                <w:rFonts w:ascii="楷体" w:eastAsia="楷体" w:hAnsi="楷体" w:cs="黑体"/>
                <w:sz w:val="28"/>
                <w:szCs w:val="28"/>
              </w:rPr>
              <w:t>强化生育政策配套衔接</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_Toc84804961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26</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2" w:history="1">
            <w:r>
              <w:rPr>
                <w:rStyle w:val="ab"/>
                <w:rFonts w:ascii="楷体" w:eastAsia="楷体" w:hAnsi="楷体" w:cs="黑体"/>
                <w:sz w:val="28"/>
                <w:szCs w:val="28"/>
              </w:rPr>
              <w:t>2.</w:t>
            </w:r>
            <w:r>
              <w:rPr>
                <w:rStyle w:val="ab"/>
                <w:rFonts w:ascii="楷体" w:eastAsia="楷体" w:hAnsi="楷体" w:cs="黑体"/>
                <w:sz w:val="28"/>
                <w:szCs w:val="28"/>
              </w:rPr>
              <w:t>发展普惠托育服务体系</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_Toc84804962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26</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3" w:history="1">
            <w:r>
              <w:rPr>
                <w:rStyle w:val="ab"/>
                <w:rFonts w:ascii="楷体" w:eastAsia="楷体" w:hAnsi="楷体" w:cs="黑体"/>
                <w:sz w:val="28"/>
                <w:szCs w:val="28"/>
              </w:rPr>
              <w:t>3.</w:t>
            </w:r>
            <w:r>
              <w:rPr>
                <w:rStyle w:val="ab"/>
                <w:rFonts w:ascii="楷体" w:eastAsia="楷体" w:hAnsi="楷体" w:cs="黑体"/>
                <w:sz w:val="28"/>
                <w:szCs w:val="28"/>
              </w:rPr>
              <w:t>促进妇女儿童健康</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w:instrText>
            </w:r>
            <w:r>
              <w:rPr>
                <w:rFonts w:ascii="楷体" w:eastAsia="楷体" w:hAnsi="楷体"/>
                <w:sz w:val="28"/>
                <w:szCs w:val="28"/>
              </w:rPr>
              <w:instrText xml:space="preserve">_Toc84804963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26</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4" w:history="1">
            <w:r>
              <w:rPr>
                <w:rStyle w:val="ab"/>
                <w:rFonts w:ascii="楷体" w:eastAsia="楷体" w:hAnsi="楷体" w:cs="黑体"/>
                <w:sz w:val="28"/>
                <w:szCs w:val="28"/>
              </w:rPr>
              <w:t>4.</w:t>
            </w:r>
            <w:r>
              <w:rPr>
                <w:rStyle w:val="ab"/>
                <w:rFonts w:ascii="楷体" w:eastAsia="楷体" w:hAnsi="楷体" w:cs="黑体"/>
                <w:sz w:val="28"/>
                <w:szCs w:val="28"/>
              </w:rPr>
              <w:t>加强职业健康保护</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_Toc84804964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27</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5" w:history="1">
            <w:r>
              <w:rPr>
                <w:rStyle w:val="ab"/>
                <w:rFonts w:ascii="楷体" w:eastAsia="楷体" w:hAnsi="楷体" w:cs="黑体"/>
                <w:sz w:val="28"/>
                <w:szCs w:val="28"/>
              </w:rPr>
              <w:t>5.</w:t>
            </w:r>
            <w:r>
              <w:rPr>
                <w:rStyle w:val="ab"/>
                <w:rFonts w:ascii="楷体" w:eastAsia="楷体" w:hAnsi="楷体" w:cs="黑体"/>
                <w:sz w:val="28"/>
                <w:szCs w:val="28"/>
              </w:rPr>
              <w:t>促进老年健康服务</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_Toc84804965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28</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6" w:history="1">
            <w:r>
              <w:rPr>
                <w:rStyle w:val="ab"/>
                <w:rFonts w:ascii="楷体" w:eastAsia="楷体" w:hAnsi="楷体" w:cs="黑体"/>
                <w:sz w:val="28"/>
                <w:szCs w:val="28"/>
              </w:rPr>
              <w:t>6.</w:t>
            </w:r>
            <w:r>
              <w:rPr>
                <w:rStyle w:val="ab"/>
                <w:rFonts w:ascii="楷体" w:eastAsia="楷体" w:hAnsi="楷体" w:cs="黑体"/>
                <w:sz w:val="28"/>
                <w:szCs w:val="28"/>
              </w:rPr>
              <w:t>促进残疾人健康</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_Toc84804966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28</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67" w:history="1">
            <w:r>
              <w:rPr>
                <w:rStyle w:val="ab"/>
                <w:rFonts w:ascii="楷体" w:eastAsia="楷体" w:hAnsi="楷体"/>
                <w:sz w:val="28"/>
                <w:szCs w:val="28"/>
              </w:rPr>
              <w:t>（五）持续深化医药卫生体制改革</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_Toc84804967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29</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8" w:history="1">
            <w:r>
              <w:rPr>
                <w:rStyle w:val="ab"/>
                <w:rFonts w:ascii="楷体" w:eastAsia="楷体" w:hAnsi="楷体" w:cs="黑体"/>
                <w:sz w:val="28"/>
                <w:szCs w:val="28"/>
              </w:rPr>
              <w:t>1.</w:t>
            </w:r>
            <w:r>
              <w:rPr>
                <w:rStyle w:val="ab"/>
                <w:rFonts w:ascii="楷体" w:eastAsia="楷体" w:hAnsi="楷体" w:cs="黑体"/>
                <w:sz w:val="28"/>
                <w:szCs w:val="28"/>
              </w:rPr>
              <w:t>加快建设完善分级诊疗体系</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_Toc84804968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29</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69" w:history="1">
            <w:r>
              <w:rPr>
                <w:rStyle w:val="ab"/>
                <w:rFonts w:ascii="楷体" w:eastAsia="楷体" w:hAnsi="楷体" w:cs="黑体"/>
                <w:sz w:val="28"/>
                <w:szCs w:val="28"/>
              </w:rPr>
              <w:t>2.</w:t>
            </w:r>
            <w:r>
              <w:rPr>
                <w:rStyle w:val="ab"/>
                <w:rFonts w:ascii="楷体" w:eastAsia="楷体" w:hAnsi="楷体" w:cs="黑体"/>
                <w:sz w:val="28"/>
                <w:szCs w:val="28"/>
              </w:rPr>
              <w:t>推动公立医院高质量发展</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_Toc84804969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29</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70" w:history="1">
            <w:r>
              <w:rPr>
                <w:rStyle w:val="ab"/>
                <w:rFonts w:ascii="楷体" w:eastAsia="楷体" w:hAnsi="楷体" w:cs="黑体"/>
                <w:sz w:val="28"/>
                <w:szCs w:val="28"/>
              </w:rPr>
              <w:t>3.</w:t>
            </w:r>
            <w:r>
              <w:rPr>
                <w:rStyle w:val="ab"/>
                <w:rFonts w:ascii="楷体" w:eastAsia="楷体" w:hAnsi="楷体" w:cs="黑体"/>
                <w:sz w:val="28"/>
                <w:szCs w:val="28"/>
              </w:rPr>
              <w:t>完善医疗保障体系</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_Toc84804970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30</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71" w:history="1">
            <w:r>
              <w:rPr>
                <w:rStyle w:val="ab"/>
                <w:rFonts w:ascii="楷体" w:eastAsia="楷体" w:hAnsi="楷体" w:cs="黑体"/>
                <w:sz w:val="28"/>
                <w:szCs w:val="28"/>
              </w:rPr>
              <w:t>4.</w:t>
            </w:r>
            <w:r>
              <w:rPr>
                <w:rStyle w:val="ab"/>
                <w:rFonts w:ascii="楷体" w:eastAsia="楷体" w:hAnsi="楷体" w:cs="黑体"/>
                <w:sz w:val="28"/>
                <w:szCs w:val="28"/>
              </w:rPr>
              <w:t>完善药品供应保障制度</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_Toc84804971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30</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72" w:history="1">
            <w:r>
              <w:rPr>
                <w:rStyle w:val="ab"/>
                <w:rFonts w:ascii="楷体" w:eastAsia="楷体" w:hAnsi="楷体" w:cs="黑体"/>
                <w:sz w:val="28"/>
                <w:szCs w:val="28"/>
              </w:rPr>
              <w:t>5.</w:t>
            </w:r>
            <w:r>
              <w:rPr>
                <w:rStyle w:val="ab"/>
                <w:rFonts w:ascii="楷体" w:eastAsia="楷体" w:hAnsi="楷体" w:cs="黑体"/>
                <w:sz w:val="28"/>
                <w:szCs w:val="28"/>
              </w:rPr>
              <w:t>强化医疗卫生行业综合监管</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_Toc84804972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31</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73" w:history="1">
            <w:r>
              <w:rPr>
                <w:rStyle w:val="ab"/>
                <w:rFonts w:ascii="楷体" w:eastAsia="楷体" w:hAnsi="楷体"/>
                <w:sz w:val="28"/>
                <w:szCs w:val="28"/>
              </w:rPr>
              <w:t>（六）推动中医药高质量发展</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w:instrText>
            </w:r>
            <w:r>
              <w:rPr>
                <w:rFonts w:ascii="楷体" w:eastAsia="楷体" w:hAnsi="楷体"/>
                <w:sz w:val="28"/>
                <w:szCs w:val="28"/>
              </w:rPr>
              <w:instrText xml:space="preserve">EREF _Toc84804973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31</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74" w:history="1">
            <w:r>
              <w:rPr>
                <w:rStyle w:val="ab"/>
                <w:rFonts w:ascii="楷体" w:eastAsia="楷体" w:hAnsi="楷体" w:cs="黑体"/>
                <w:sz w:val="28"/>
                <w:szCs w:val="28"/>
              </w:rPr>
              <w:t>1.</w:t>
            </w:r>
            <w:r>
              <w:rPr>
                <w:rStyle w:val="ab"/>
                <w:rFonts w:ascii="楷体" w:eastAsia="楷体" w:hAnsi="楷体" w:cs="黑体"/>
                <w:sz w:val="28"/>
                <w:szCs w:val="28"/>
              </w:rPr>
              <w:t>健全优质高效中医药服务体系</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_Toc84804974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31</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75" w:history="1">
            <w:r>
              <w:rPr>
                <w:rStyle w:val="ab"/>
                <w:rFonts w:ascii="楷体" w:eastAsia="楷体" w:hAnsi="楷体" w:cs="黑体"/>
                <w:sz w:val="28"/>
                <w:szCs w:val="28"/>
              </w:rPr>
              <w:t>2.</w:t>
            </w:r>
            <w:r>
              <w:rPr>
                <w:rStyle w:val="ab"/>
                <w:rFonts w:ascii="楷体" w:eastAsia="楷体" w:hAnsi="楷体" w:cs="黑体"/>
                <w:sz w:val="28"/>
                <w:szCs w:val="28"/>
              </w:rPr>
              <w:t>促进中医药传承创新发展</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_Toc84804975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32</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76" w:history="1">
            <w:r>
              <w:rPr>
                <w:rStyle w:val="ab"/>
                <w:rFonts w:ascii="楷体" w:eastAsia="楷体" w:hAnsi="楷体" w:cs="黑体"/>
                <w:sz w:val="28"/>
                <w:szCs w:val="28"/>
              </w:rPr>
              <w:t>3.</w:t>
            </w:r>
            <w:r>
              <w:rPr>
                <w:rStyle w:val="ab"/>
                <w:rFonts w:ascii="楷体" w:eastAsia="楷体" w:hAnsi="楷体" w:cs="黑体"/>
                <w:sz w:val="28"/>
                <w:szCs w:val="28"/>
              </w:rPr>
              <w:t>提升基层中医药服务能力</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_Toc84804976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33</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77" w:history="1">
            <w:r>
              <w:rPr>
                <w:rStyle w:val="ab"/>
                <w:rFonts w:ascii="楷体" w:eastAsia="楷体" w:hAnsi="楷体"/>
                <w:sz w:val="28"/>
                <w:szCs w:val="28"/>
              </w:rPr>
              <w:t>（七）大力发展健康产业</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_Toc84804977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35</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78" w:history="1">
            <w:r>
              <w:rPr>
                <w:rStyle w:val="ab"/>
                <w:rFonts w:ascii="楷体" w:eastAsia="楷体" w:hAnsi="楷体" w:cs="黑体"/>
                <w:sz w:val="28"/>
                <w:szCs w:val="28"/>
              </w:rPr>
              <w:t>1.</w:t>
            </w:r>
            <w:r>
              <w:rPr>
                <w:rStyle w:val="ab"/>
                <w:rFonts w:ascii="楷体" w:eastAsia="楷体" w:hAnsi="楷体" w:cs="黑体"/>
                <w:sz w:val="28"/>
                <w:szCs w:val="28"/>
              </w:rPr>
              <w:t>大力发展社会办医</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_Toc84804978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35</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79" w:history="1">
            <w:r>
              <w:rPr>
                <w:rStyle w:val="ab"/>
                <w:rFonts w:ascii="楷体" w:eastAsia="楷体" w:hAnsi="楷体" w:cs="黑体"/>
                <w:sz w:val="28"/>
                <w:szCs w:val="28"/>
              </w:rPr>
              <w:t>2.</w:t>
            </w:r>
            <w:r>
              <w:rPr>
                <w:rStyle w:val="ab"/>
                <w:rFonts w:ascii="楷体" w:eastAsia="楷体" w:hAnsi="楷体" w:cs="黑体"/>
                <w:sz w:val="28"/>
                <w:szCs w:val="28"/>
              </w:rPr>
              <w:t>深入推进医养融合发展</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_Toc84804979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35</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80" w:history="1">
            <w:r>
              <w:rPr>
                <w:rStyle w:val="ab"/>
                <w:rFonts w:ascii="楷体" w:eastAsia="楷体" w:hAnsi="楷体" w:cs="黑体"/>
                <w:sz w:val="28"/>
                <w:szCs w:val="28"/>
              </w:rPr>
              <w:t>3.</w:t>
            </w:r>
            <w:r>
              <w:rPr>
                <w:rStyle w:val="ab"/>
                <w:rFonts w:ascii="楷体" w:eastAsia="楷体" w:hAnsi="楷体" w:cs="黑体"/>
                <w:sz w:val="28"/>
                <w:szCs w:val="28"/>
              </w:rPr>
              <w:t>大力推进医药产业发展</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w:instrText>
            </w:r>
            <w:r>
              <w:rPr>
                <w:rFonts w:ascii="楷体" w:eastAsia="楷体" w:hAnsi="楷体"/>
                <w:sz w:val="28"/>
                <w:szCs w:val="28"/>
              </w:rPr>
              <w:instrText xml:space="preserve">F _Toc84804980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36</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81" w:history="1">
            <w:r>
              <w:rPr>
                <w:rStyle w:val="ab"/>
                <w:rFonts w:ascii="楷体" w:eastAsia="楷体" w:hAnsi="楷体" w:cs="黑体"/>
                <w:sz w:val="28"/>
                <w:szCs w:val="28"/>
              </w:rPr>
              <w:t>4.</w:t>
            </w:r>
            <w:r>
              <w:rPr>
                <w:rStyle w:val="ab"/>
                <w:rFonts w:ascii="楷体" w:eastAsia="楷体" w:hAnsi="楷体" w:cs="黑体"/>
                <w:sz w:val="28"/>
                <w:szCs w:val="28"/>
              </w:rPr>
              <w:t>积极发展多元化健康服务</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_Toc84804981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36</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82" w:history="1">
            <w:r>
              <w:rPr>
                <w:rStyle w:val="ab"/>
                <w:rFonts w:ascii="楷体" w:eastAsia="楷体" w:hAnsi="楷体"/>
                <w:sz w:val="28"/>
                <w:szCs w:val="28"/>
              </w:rPr>
              <w:t>（八）完善健康优先发展保障体系</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_Toc84804982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37</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83" w:history="1">
            <w:r>
              <w:rPr>
                <w:rStyle w:val="ab"/>
                <w:rFonts w:ascii="楷体" w:eastAsia="楷体" w:hAnsi="楷体" w:cs="黑体"/>
                <w:sz w:val="28"/>
                <w:szCs w:val="28"/>
              </w:rPr>
              <w:t>1.</w:t>
            </w:r>
            <w:r>
              <w:rPr>
                <w:rStyle w:val="ab"/>
                <w:rFonts w:ascii="楷体" w:eastAsia="楷体" w:hAnsi="楷体" w:cs="黑体"/>
                <w:sz w:val="28"/>
                <w:szCs w:val="28"/>
              </w:rPr>
              <w:t>加强人才队伍建设</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_Toc84804983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37</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84" w:history="1">
            <w:r>
              <w:rPr>
                <w:rStyle w:val="ab"/>
                <w:rFonts w:ascii="楷体" w:eastAsia="楷体" w:hAnsi="楷体" w:cs="黑体"/>
                <w:sz w:val="28"/>
                <w:szCs w:val="28"/>
              </w:rPr>
              <w:t>2.</w:t>
            </w:r>
            <w:r>
              <w:rPr>
                <w:rStyle w:val="ab"/>
                <w:rFonts w:ascii="楷体" w:eastAsia="楷体" w:hAnsi="楷体" w:cs="黑体"/>
                <w:sz w:val="28"/>
                <w:szCs w:val="28"/>
              </w:rPr>
              <w:t>提升科技创新和生物安全能力</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_Toc84804984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38</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Style w:val="ab"/>
              <w:rFonts w:ascii="楷体" w:eastAsia="楷体" w:hAnsi="楷体" w:cs="黑体"/>
              <w:sz w:val="28"/>
              <w:szCs w:val="28"/>
            </w:rPr>
          </w:pPr>
          <w:hyperlink w:anchor="_Toc84804985" w:history="1">
            <w:r>
              <w:rPr>
                <w:rStyle w:val="ab"/>
                <w:rFonts w:ascii="楷体" w:eastAsia="楷体" w:hAnsi="楷体" w:cs="黑体"/>
                <w:sz w:val="28"/>
                <w:szCs w:val="28"/>
              </w:rPr>
              <w:t>3.</w:t>
            </w:r>
            <w:r>
              <w:rPr>
                <w:rStyle w:val="ab"/>
                <w:rFonts w:ascii="楷体" w:eastAsia="楷体" w:hAnsi="楷体" w:cs="黑体"/>
                <w:sz w:val="28"/>
                <w:szCs w:val="28"/>
              </w:rPr>
              <w:t>发展数字卫生健康</w:t>
            </w:r>
            <w:r>
              <w:rPr>
                <w:rStyle w:val="ab"/>
                <w:rFonts w:ascii="楷体" w:eastAsia="楷体" w:hAnsi="楷体" w:cs="黑体"/>
                <w:sz w:val="28"/>
                <w:szCs w:val="28"/>
              </w:rPr>
              <w:tab/>
            </w:r>
            <w:r>
              <w:rPr>
                <w:rStyle w:val="ab"/>
                <w:rFonts w:ascii="楷体" w:eastAsia="楷体" w:hAnsi="楷体" w:cs="黑体"/>
                <w:sz w:val="28"/>
                <w:szCs w:val="28"/>
              </w:rPr>
              <w:fldChar w:fldCharType="begin"/>
            </w:r>
            <w:r>
              <w:rPr>
                <w:rStyle w:val="ab"/>
                <w:rFonts w:ascii="楷体" w:eastAsia="楷体" w:hAnsi="楷体" w:cs="黑体"/>
                <w:sz w:val="28"/>
                <w:szCs w:val="28"/>
              </w:rPr>
              <w:instrText xml:space="preserve"> PAGEREF _Toc84804985 \h </w:instrText>
            </w:r>
            <w:r>
              <w:rPr>
                <w:rStyle w:val="ab"/>
                <w:rFonts w:ascii="楷体" w:eastAsia="楷体" w:hAnsi="楷体" w:cs="黑体"/>
                <w:sz w:val="28"/>
                <w:szCs w:val="28"/>
              </w:rPr>
            </w:r>
            <w:r>
              <w:rPr>
                <w:rStyle w:val="ab"/>
                <w:rFonts w:ascii="楷体" w:eastAsia="楷体" w:hAnsi="楷体" w:cs="黑体"/>
                <w:sz w:val="28"/>
                <w:szCs w:val="28"/>
              </w:rPr>
              <w:fldChar w:fldCharType="separate"/>
            </w:r>
            <w:r>
              <w:rPr>
                <w:rStyle w:val="ab"/>
                <w:rFonts w:ascii="楷体" w:eastAsia="楷体" w:hAnsi="楷体" w:cs="黑体"/>
                <w:sz w:val="28"/>
                <w:szCs w:val="28"/>
              </w:rPr>
              <w:t>38</w:t>
            </w:r>
            <w:r>
              <w:rPr>
                <w:rStyle w:val="ab"/>
                <w:rFonts w:ascii="楷体" w:eastAsia="楷体" w:hAnsi="楷体" w:cs="黑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86" w:history="1">
            <w:r>
              <w:rPr>
                <w:rStyle w:val="ab"/>
                <w:rFonts w:ascii="楷体" w:eastAsia="楷体" w:hAnsi="楷体" w:cs="黑体"/>
                <w:sz w:val="28"/>
                <w:szCs w:val="28"/>
              </w:rPr>
              <w:t>4.</w:t>
            </w:r>
            <w:r>
              <w:rPr>
                <w:rStyle w:val="ab"/>
                <w:rFonts w:ascii="楷体" w:eastAsia="楷体" w:hAnsi="楷体" w:cs="黑体"/>
                <w:sz w:val="28"/>
                <w:szCs w:val="28"/>
              </w:rPr>
              <w:t>推进对外交流合作</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_Toc84804986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39</w:t>
            </w:r>
            <w:r>
              <w:rPr>
                <w:rFonts w:ascii="楷体" w:eastAsia="楷体" w:hAnsi="楷体"/>
                <w:sz w:val="28"/>
                <w:szCs w:val="28"/>
              </w:rPr>
              <w:fldChar w:fldCharType="end"/>
            </w:r>
          </w:hyperlink>
        </w:p>
        <w:p w:rsidR="00D70FB0" w:rsidRDefault="00EE7950">
          <w:pPr>
            <w:pStyle w:val="30"/>
            <w:tabs>
              <w:tab w:val="right" w:leader="dot" w:pos="8296"/>
            </w:tabs>
            <w:spacing w:line="420" w:lineRule="exact"/>
            <w:rPr>
              <w:rFonts w:ascii="楷体" w:eastAsia="楷体" w:hAnsi="楷体"/>
              <w:sz w:val="28"/>
              <w:szCs w:val="28"/>
            </w:rPr>
          </w:pPr>
          <w:hyperlink w:anchor="_Toc84804987" w:history="1">
            <w:r>
              <w:rPr>
                <w:rStyle w:val="ab"/>
                <w:rFonts w:ascii="楷体" w:eastAsia="楷体" w:hAnsi="楷体" w:cs="黑体"/>
                <w:sz w:val="28"/>
                <w:szCs w:val="28"/>
              </w:rPr>
              <w:t>5.</w:t>
            </w:r>
            <w:r>
              <w:rPr>
                <w:rStyle w:val="ab"/>
                <w:rFonts w:ascii="楷体" w:eastAsia="楷体" w:hAnsi="楷体" w:cs="黑体"/>
                <w:sz w:val="28"/>
                <w:szCs w:val="28"/>
              </w:rPr>
              <w:t>加强卫生健康法治建设</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_Toc84804987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39</w:t>
            </w:r>
            <w:r>
              <w:rPr>
                <w:rFonts w:ascii="楷体" w:eastAsia="楷体" w:hAnsi="楷体"/>
                <w:sz w:val="28"/>
                <w:szCs w:val="28"/>
              </w:rPr>
              <w:fldChar w:fldCharType="end"/>
            </w:r>
          </w:hyperlink>
        </w:p>
        <w:p w:rsidR="00D70FB0" w:rsidRDefault="00EE7950">
          <w:pPr>
            <w:pStyle w:val="10"/>
            <w:tabs>
              <w:tab w:val="right" w:leader="dot" w:pos="8296"/>
            </w:tabs>
            <w:spacing w:line="420" w:lineRule="exact"/>
            <w:rPr>
              <w:rFonts w:ascii="楷体" w:eastAsia="楷体" w:hAnsi="楷体" w:cstheme="minorBidi"/>
              <w:sz w:val="28"/>
              <w:szCs w:val="28"/>
            </w:rPr>
          </w:pPr>
          <w:hyperlink w:anchor="_Toc84804988" w:history="1">
            <w:r>
              <w:rPr>
                <w:rStyle w:val="ab"/>
                <w:rFonts w:ascii="楷体" w:eastAsia="楷体" w:hAnsi="楷体"/>
                <w:sz w:val="28"/>
                <w:szCs w:val="28"/>
              </w:rPr>
              <w:t>四、保障措施</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_Toc84804988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40</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89" w:history="1">
            <w:r>
              <w:rPr>
                <w:rStyle w:val="ab"/>
                <w:rFonts w:ascii="楷体" w:eastAsia="楷体" w:hAnsi="楷体"/>
                <w:sz w:val="28"/>
                <w:szCs w:val="28"/>
              </w:rPr>
              <w:t>（一）加强组织领导</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w:instrText>
            </w:r>
            <w:r>
              <w:rPr>
                <w:rFonts w:ascii="楷体" w:eastAsia="楷体" w:hAnsi="楷体"/>
                <w:sz w:val="28"/>
                <w:szCs w:val="28"/>
              </w:rPr>
              <w:instrText xml:space="preserve">04989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40</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90" w:history="1">
            <w:r>
              <w:rPr>
                <w:rStyle w:val="ab"/>
                <w:rFonts w:ascii="楷体" w:eastAsia="楷体" w:hAnsi="楷体"/>
                <w:sz w:val="28"/>
                <w:szCs w:val="28"/>
              </w:rPr>
              <w:t>（二）加大卫生投入力度</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_Toc84804990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40</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91" w:history="1">
            <w:r>
              <w:rPr>
                <w:rStyle w:val="ab"/>
                <w:rFonts w:ascii="楷体" w:eastAsia="楷体" w:hAnsi="楷体"/>
                <w:sz w:val="28"/>
                <w:szCs w:val="28"/>
              </w:rPr>
              <w:t>（三）强化监督评估</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_Toc84804991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40</w:t>
            </w:r>
            <w:r>
              <w:rPr>
                <w:rFonts w:ascii="楷体" w:eastAsia="楷体" w:hAnsi="楷体"/>
                <w:sz w:val="28"/>
                <w:szCs w:val="28"/>
              </w:rPr>
              <w:fldChar w:fldCharType="end"/>
            </w:r>
          </w:hyperlink>
        </w:p>
        <w:p w:rsidR="00D70FB0" w:rsidRDefault="00EE7950">
          <w:pPr>
            <w:pStyle w:val="20"/>
            <w:tabs>
              <w:tab w:val="right" w:leader="dot" w:pos="8296"/>
            </w:tabs>
            <w:spacing w:line="420" w:lineRule="exact"/>
            <w:rPr>
              <w:rFonts w:ascii="楷体" w:eastAsia="楷体" w:hAnsi="楷体" w:cstheme="minorBidi"/>
              <w:sz w:val="28"/>
              <w:szCs w:val="28"/>
            </w:rPr>
          </w:pPr>
          <w:hyperlink w:anchor="_Toc84804992" w:history="1">
            <w:r>
              <w:rPr>
                <w:rStyle w:val="ab"/>
                <w:rFonts w:ascii="楷体" w:eastAsia="楷体" w:hAnsi="楷体"/>
                <w:sz w:val="28"/>
                <w:szCs w:val="28"/>
              </w:rPr>
              <w:t>（四）加强宣传引导</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w:instrText>
            </w:r>
            <w:r>
              <w:rPr>
                <w:rFonts w:ascii="楷体" w:eastAsia="楷体" w:hAnsi="楷体"/>
                <w:sz w:val="28"/>
                <w:szCs w:val="28"/>
              </w:rPr>
              <w:instrText xml:space="preserve">4804992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41</w:t>
            </w:r>
            <w:r>
              <w:rPr>
                <w:rFonts w:ascii="楷体" w:eastAsia="楷体" w:hAnsi="楷体"/>
                <w:sz w:val="28"/>
                <w:szCs w:val="28"/>
              </w:rPr>
              <w:fldChar w:fldCharType="end"/>
            </w:r>
          </w:hyperlink>
        </w:p>
        <w:p w:rsidR="00D70FB0" w:rsidRDefault="00EE7950">
          <w:pPr>
            <w:pStyle w:val="10"/>
            <w:tabs>
              <w:tab w:val="right" w:leader="dot" w:pos="8296"/>
            </w:tabs>
            <w:spacing w:line="420" w:lineRule="exact"/>
            <w:rPr>
              <w:rFonts w:ascii="楷体" w:eastAsia="楷体" w:hAnsi="楷体" w:cstheme="minorBidi"/>
              <w:sz w:val="28"/>
              <w:szCs w:val="28"/>
            </w:rPr>
          </w:pPr>
          <w:hyperlink w:anchor="_Toc84804993" w:history="1">
            <w:r>
              <w:rPr>
                <w:rStyle w:val="ab"/>
                <w:rFonts w:ascii="楷体" w:eastAsia="楷体" w:hAnsi="楷体"/>
                <w:kern w:val="44"/>
                <w:sz w:val="28"/>
                <w:szCs w:val="28"/>
              </w:rPr>
              <w:t>开平市卫生健康事业</w:t>
            </w:r>
            <w:r>
              <w:rPr>
                <w:rStyle w:val="ab"/>
                <w:rFonts w:ascii="楷体" w:eastAsia="楷体" w:hAnsi="楷体"/>
                <w:kern w:val="44"/>
                <w:sz w:val="28"/>
                <w:szCs w:val="28"/>
              </w:rPr>
              <w:t>“</w:t>
            </w:r>
            <w:r>
              <w:rPr>
                <w:rStyle w:val="ab"/>
                <w:rFonts w:ascii="楷体" w:eastAsia="楷体" w:hAnsi="楷体"/>
                <w:kern w:val="44"/>
                <w:sz w:val="28"/>
                <w:szCs w:val="28"/>
              </w:rPr>
              <w:t>十四五</w:t>
            </w:r>
            <w:r>
              <w:rPr>
                <w:rStyle w:val="ab"/>
                <w:rFonts w:ascii="楷体" w:eastAsia="楷体" w:hAnsi="楷体"/>
                <w:kern w:val="44"/>
                <w:sz w:val="28"/>
                <w:szCs w:val="28"/>
              </w:rPr>
              <w:t>”</w:t>
            </w:r>
            <w:r>
              <w:rPr>
                <w:rStyle w:val="ab"/>
                <w:rFonts w:ascii="楷体" w:eastAsia="楷体" w:hAnsi="楷体"/>
                <w:kern w:val="44"/>
                <w:sz w:val="28"/>
                <w:szCs w:val="28"/>
              </w:rPr>
              <w:t>规划重大项目计划</w:t>
            </w:r>
            <w:r>
              <w:rPr>
                <w:rFonts w:ascii="楷体" w:eastAsia="楷体" w:hAnsi="楷体"/>
                <w:sz w:val="28"/>
                <w:szCs w:val="28"/>
              </w:rPr>
              <w:tab/>
            </w:r>
            <w:r>
              <w:rPr>
                <w:rFonts w:ascii="楷体" w:eastAsia="楷体" w:hAnsi="楷体"/>
                <w:sz w:val="28"/>
                <w:szCs w:val="28"/>
              </w:rPr>
              <w:fldChar w:fldCharType="begin"/>
            </w:r>
            <w:r>
              <w:rPr>
                <w:rFonts w:ascii="楷体" w:eastAsia="楷体" w:hAnsi="楷体"/>
                <w:sz w:val="28"/>
                <w:szCs w:val="28"/>
              </w:rPr>
              <w:instrText xml:space="preserve"> PAGEREF _Toc84804993 \h </w:instrText>
            </w:r>
            <w:r>
              <w:rPr>
                <w:rFonts w:ascii="楷体" w:eastAsia="楷体" w:hAnsi="楷体"/>
                <w:sz w:val="28"/>
                <w:szCs w:val="28"/>
              </w:rPr>
            </w:r>
            <w:r>
              <w:rPr>
                <w:rFonts w:ascii="楷体" w:eastAsia="楷体" w:hAnsi="楷体"/>
                <w:sz w:val="28"/>
                <w:szCs w:val="28"/>
              </w:rPr>
              <w:fldChar w:fldCharType="separate"/>
            </w:r>
            <w:r>
              <w:rPr>
                <w:rFonts w:ascii="楷体" w:eastAsia="楷体" w:hAnsi="楷体"/>
                <w:sz w:val="28"/>
                <w:szCs w:val="28"/>
              </w:rPr>
              <w:t>42</w:t>
            </w:r>
            <w:r>
              <w:rPr>
                <w:rFonts w:ascii="楷体" w:eastAsia="楷体" w:hAnsi="楷体"/>
                <w:sz w:val="28"/>
                <w:szCs w:val="28"/>
              </w:rPr>
              <w:fldChar w:fldCharType="end"/>
            </w:r>
          </w:hyperlink>
        </w:p>
        <w:p w:rsidR="00D70FB0" w:rsidRDefault="00EE7950">
          <w:pPr>
            <w:rPr>
              <w:rFonts w:ascii="仿宋_GB2312" w:eastAsia="仿宋_GB2312" w:hAnsi="仿宋_GB2312" w:cs="仿宋_GB2312"/>
              <w:sz w:val="32"/>
              <w:szCs w:val="32"/>
            </w:rPr>
            <w:sectPr w:rsidR="00D70FB0">
              <w:footerReference w:type="default" r:id="rId10"/>
              <w:pgSz w:w="11906" w:h="16838"/>
              <w:pgMar w:top="1440" w:right="1800" w:bottom="1440" w:left="1800" w:header="851" w:footer="992" w:gutter="0"/>
              <w:cols w:space="425"/>
              <w:docGrid w:type="lines" w:linePitch="312"/>
            </w:sectPr>
          </w:pPr>
          <w:r>
            <w:rPr>
              <w:sz w:val="24"/>
              <w:szCs w:val="24"/>
              <w:lang w:val="zh-CN"/>
            </w:rPr>
            <w:fldChar w:fldCharType="end"/>
          </w:r>
        </w:p>
      </w:sdtContent>
    </w:sdt>
    <w:p w:rsidR="00D70FB0" w:rsidRDefault="00EE7950">
      <w:pPr>
        <w:spacing w:line="560" w:lineRule="exact"/>
        <w:ind w:firstLineChars="200" w:firstLine="640"/>
        <w:jc w:val="left"/>
        <w:rPr>
          <w:rFonts w:ascii="仿宋_GB2312" w:hAnsi="仿宋_GB2312" w:cs="仿宋_GB2312"/>
        </w:rPr>
      </w:pPr>
      <w:bookmarkStart w:id="0" w:name="_Toc60758088"/>
      <w:r>
        <w:rPr>
          <w:rFonts w:ascii="仿宋_GB2312" w:eastAsia="仿宋_GB2312" w:hAnsi="仿宋_GB2312" w:cs="仿宋_GB2312" w:hint="eastAsia"/>
          <w:sz w:val="32"/>
          <w:szCs w:val="24"/>
        </w:rPr>
        <w:lastRenderedPageBreak/>
        <w:t>“十四五”时期是我国全面建成小康社会、实现第一个百年奋斗目标之后，乘势而上开启全面建设社会主义现代化国家新征程、向第二个百年奋斗目标进军的第一个“五年”，对于我国经济社会发展至关重要。为贯彻落</w:t>
      </w:r>
      <w:proofErr w:type="gramStart"/>
      <w:r>
        <w:rPr>
          <w:rFonts w:ascii="仿宋_GB2312" w:eastAsia="仿宋_GB2312" w:hAnsi="仿宋_GB2312" w:cs="仿宋_GB2312" w:hint="eastAsia"/>
          <w:sz w:val="32"/>
          <w:szCs w:val="24"/>
        </w:rPr>
        <w:t>实习近</w:t>
      </w:r>
      <w:proofErr w:type="gramEnd"/>
      <w:r>
        <w:rPr>
          <w:rFonts w:ascii="仿宋_GB2312" w:eastAsia="仿宋_GB2312" w:hAnsi="仿宋_GB2312" w:cs="仿宋_GB2312" w:hint="eastAsia"/>
          <w:sz w:val="32"/>
          <w:szCs w:val="24"/>
        </w:rPr>
        <w:t>平总书记关于健康中国建设提出的“没有全民健康，就没有全面小康”讲话精神，提升开平市卫生健康事业在社会发展和经济发展的地位，</w:t>
      </w:r>
      <w:r w:rsidRPr="00D10D7D">
        <w:rPr>
          <w:rFonts w:ascii="仿宋_GB2312" w:eastAsia="仿宋_GB2312" w:hAnsi="仿宋_GB2312" w:cs="仿宋_GB2312" w:hint="eastAsia"/>
          <w:sz w:val="32"/>
          <w:szCs w:val="24"/>
        </w:rPr>
        <w:t>依据</w:t>
      </w:r>
      <w:r w:rsidRPr="00D10D7D">
        <w:rPr>
          <w:rFonts w:ascii="仿宋_GB2312" w:eastAsia="仿宋_GB2312" w:hAnsi="仿宋_GB2312" w:cs="仿宋_GB2312" w:hint="eastAsia"/>
          <w:sz w:val="32"/>
          <w:szCs w:val="24"/>
        </w:rPr>
        <w:t>《广东省“十四五”卫生健康事业发展规划前期研究》《健康广东行动（</w:t>
      </w:r>
      <w:r w:rsidRPr="00D10D7D">
        <w:rPr>
          <w:rFonts w:ascii="仿宋_GB2312" w:eastAsia="仿宋_GB2312" w:hAnsi="仿宋_GB2312" w:cs="仿宋_GB2312" w:hint="eastAsia"/>
          <w:sz w:val="32"/>
          <w:szCs w:val="24"/>
        </w:rPr>
        <w:t>2019-2030</w:t>
      </w:r>
      <w:r w:rsidRPr="00D10D7D">
        <w:rPr>
          <w:rFonts w:ascii="仿宋_GB2312" w:eastAsia="仿宋_GB2312" w:hAnsi="仿宋_GB2312" w:cs="仿宋_GB2312" w:hint="eastAsia"/>
          <w:sz w:val="32"/>
          <w:szCs w:val="24"/>
        </w:rPr>
        <w:t>）》（</w:t>
      </w:r>
      <w:proofErr w:type="gramStart"/>
      <w:r w:rsidRPr="00D10D7D">
        <w:rPr>
          <w:rFonts w:ascii="仿宋_GB2312" w:eastAsia="仿宋_GB2312" w:hAnsi="仿宋_GB2312" w:cs="仿宋_GB2312" w:hint="eastAsia"/>
          <w:sz w:val="32"/>
          <w:szCs w:val="24"/>
        </w:rPr>
        <w:t>粤健推委</w:t>
      </w:r>
      <w:proofErr w:type="gramEnd"/>
      <w:r w:rsidRPr="00D10D7D">
        <w:rPr>
          <w:rFonts w:ascii="仿宋_GB2312" w:eastAsia="仿宋_GB2312" w:hAnsi="仿宋_GB2312" w:cs="仿宋_GB2312" w:hint="eastAsia"/>
          <w:sz w:val="32"/>
          <w:szCs w:val="24"/>
        </w:rPr>
        <w:t>〔</w:t>
      </w:r>
      <w:r w:rsidRPr="00D10D7D">
        <w:rPr>
          <w:rFonts w:ascii="仿宋_GB2312" w:eastAsia="仿宋_GB2312" w:hAnsi="仿宋_GB2312" w:cs="仿宋_GB2312" w:hint="eastAsia"/>
          <w:sz w:val="32"/>
          <w:szCs w:val="24"/>
        </w:rPr>
        <w:t>2019</w:t>
      </w:r>
      <w:r w:rsidRPr="00D10D7D">
        <w:rPr>
          <w:rFonts w:ascii="仿宋_GB2312" w:eastAsia="仿宋_GB2312" w:hAnsi="仿宋_GB2312" w:cs="仿宋_GB2312" w:hint="eastAsia"/>
          <w:sz w:val="32"/>
          <w:szCs w:val="24"/>
        </w:rPr>
        <w:t>〕</w:t>
      </w:r>
      <w:r w:rsidRPr="00D10D7D">
        <w:rPr>
          <w:rFonts w:ascii="仿宋_GB2312" w:eastAsia="仿宋_GB2312" w:hAnsi="仿宋_GB2312" w:cs="仿宋_GB2312" w:hint="eastAsia"/>
          <w:sz w:val="32"/>
          <w:szCs w:val="24"/>
        </w:rPr>
        <w:t>1</w:t>
      </w:r>
      <w:r w:rsidRPr="00D10D7D">
        <w:rPr>
          <w:rFonts w:ascii="仿宋_GB2312" w:eastAsia="仿宋_GB2312" w:hAnsi="仿宋_GB2312" w:cs="仿宋_GB2312" w:hint="eastAsia"/>
          <w:sz w:val="32"/>
          <w:szCs w:val="24"/>
        </w:rPr>
        <w:t>号）</w:t>
      </w:r>
      <w:r>
        <w:rPr>
          <w:rFonts w:ascii="仿宋_GB2312" w:eastAsia="仿宋_GB2312" w:hAnsi="仿宋_GB2312" w:cs="仿宋_GB2312" w:hint="eastAsia"/>
          <w:sz w:val="32"/>
          <w:szCs w:val="24"/>
        </w:rPr>
        <w:t>以及《</w:t>
      </w:r>
      <w:r>
        <w:rPr>
          <w:rFonts w:ascii="仿宋_GB2312" w:eastAsia="仿宋_GB2312" w:hAnsi="仿宋_GB2312" w:cs="仿宋_GB2312" w:hint="eastAsia"/>
          <w:sz w:val="32"/>
          <w:szCs w:val="32"/>
        </w:rPr>
        <w:t>“健康江门</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”规划</w:t>
      </w:r>
      <w:r>
        <w:rPr>
          <w:rFonts w:ascii="仿宋_GB2312" w:eastAsia="仿宋_GB2312" w:hAnsi="仿宋_GB2312" w:cs="仿宋_GB2312" w:hint="eastAsia"/>
          <w:sz w:val="32"/>
          <w:szCs w:val="24"/>
        </w:rPr>
        <w:t>》等文件精神，结合我市卫生健康事业发展实际，制定本规划。</w:t>
      </w:r>
    </w:p>
    <w:p w:rsidR="00D70FB0" w:rsidRDefault="00EE7950">
      <w:pPr>
        <w:pStyle w:val="1"/>
        <w:spacing w:line="560" w:lineRule="exact"/>
        <w:ind w:leftChars="0" w:left="0" w:rightChars="0" w:right="0" w:firstLineChars="200" w:firstLine="643"/>
        <w:jc w:val="left"/>
        <w:rPr>
          <w:rFonts w:ascii="Calibri" w:eastAsia="黑体" w:hAnsi="Calibri" w:cs="黑体"/>
          <w:bCs w:val="0"/>
          <w:sz w:val="32"/>
          <w:szCs w:val="22"/>
        </w:rPr>
      </w:pPr>
      <w:bookmarkStart w:id="1" w:name="_Toc84804933"/>
      <w:r>
        <w:rPr>
          <w:rFonts w:ascii="Calibri" w:eastAsia="黑体" w:hAnsi="Calibri" w:cs="黑体" w:hint="eastAsia"/>
          <w:bCs w:val="0"/>
          <w:sz w:val="32"/>
          <w:szCs w:val="22"/>
        </w:rPr>
        <w:t>一、规划背景</w:t>
      </w:r>
      <w:bookmarkEnd w:id="0"/>
      <w:bookmarkEnd w:id="1"/>
    </w:p>
    <w:p w:rsidR="00D70FB0" w:rsidRDefault="00EE7950">
      <w:pPr>
        <w:pStyle w:val="2"/>
        <w:spacing w:before="0" w:after="0" w:line="560" w:lineRule="exact"/>
        <w:ind w:firstLineChars="200" w:firstLine="643"/>
        <w:jc w:val="left"/>
        <w:rPr>
          <w:rFonts w:eastAsia="楷体" w:cs="黑体"/>
          <w:szCs w:val="22"/>
        </w:rPr>
      </w:pPr>
      <w:bookmarkStart w:id="2" w:name="_Toc84804934"/>
      <w:bookmarkStart w:id="3" w:name="_Toc60758089"/>
      <w:r>
        <w:rPr>
          <w:rFonts w:eastAsia="楷体" w:cs="黑体" w:hint="eastAsia"/>
          <w:szCs w:val="22"/>
        </w:rPr>
        <w:t>（一）基础</w:t>
      </w:r>
      <w:r>
        <w:rPr>
          <w:rFonts w:eastAsia="楷体" w:cs="黑体"/>
          <w:szCs w:val="22"/>
        </w:rPr>
        <w:t>现状</w:t>
      </w:r>
      <w:bookmarkEnd w:id="2"/>
      <w:bookmarkEnd w:id="3"/>
    </w:p>
    <w:p w:rsidR="00D70FB0" w:rsidRDefault="00EE7950">
      <w:pPr>
        <w:pStyle w:val="a4"/>
        <w:adjustRightInd w:val="0"/>
        <w:snapToGrid w:val="0"/>
        <w:spacing w:line="560" w:lineRule="exact"/>
        <w:ind w:firstLineChars="200" w:firstLine="640"/>
        <w:jc w:val="left"/>
        <w:rPr>
          <w:rFonts w:ascii="仿宋_GB2312" w:hAnsi="仿宋_GB2312" w:cs="仿宋_GB2312"/>
          <w:szCs w:val="32"/>
        </w:rPr>
      </w:pPr>
      <w:r>
        <w:rPr>
          <w:rFonts w:ascii="仿宋_GB2312" w:hAnsi="仿宋_GB2312" w:cs="仿宋_GB2312" w:hint="eastAsia"/>
          <w:szCs w:val="32"/>
        </w:rPr>
        <w:t>“十三五”期间，</w:t>
      </w:r>
      <w:r>
        <w:rPr>
          <w:rFonts w:ascii="仿宋_GB2312" w:hAnsi="仿宋_GB2312" w:cs="仿宋_GB2312"/>
          <w:szCs w:val="32"/>
        </w:rPr>
        <w:t>我</w:t>
      </w:r>
      <w:r>
        <w:rPr>
          <w:rFonts w:ascii="仿宋_GB2312" w:hAnsi="仿宋_GB2312" w:cs="仿宋_GB2312" w:hint="eastAsia"/>
          <w:szCs w:val="32"/>
        </w:rPr>
        <w:t>市卫生健康</w:t>
      </w:r>
      <w:r>
        <w:rPr>
          <w:rFonts w:ascii="仿宋_GB2312" w:hAnsi="仿宋_GB2312" w:cs="仿宋_GB2312"/>
          <w:szCs w:val="32"/>
        </w:rPr>
        <w:t>事业在</w:t>
      </w:r>
      <w:r>
        <w:rPr>
          <w:rFonts w:ascii="仿宋_GB2312" w:hAnsi="仿宋_GB2312" w:cs="仿宋_GB2312" w:hint="eastAsia"/>
          <w:szCs w:val="32"/>
        </w:rPr>
        <w:t>市</w:t>
      </w:r>
      <w:r>
        <w:rPr>
          <w:rFonts w:ascii="仿宋_GB2312" w:hAnsi="仿宋_GB2312" w:cs="仿宋_GB2312"/>
          <w:szCs w:val="32"/>
        </w:rPr>
        <w:t>委</w:t>
      </w:r>
      <w:r>
        <w:rPr>
          <w:rFonts w:ascii="仿宋_GB2312" w:hAnsi="仿宋_GB2312" w:cs="仿宋_GB2312" w:hint="eastAsia"/>
          <w:szCs w:val="32"/>
        </w:rPr>
        <w:t>市</w:t>
      </w:r>
      <w:r>
        <w:rPr>
          <w:rFonts w:ascii="仿宋_GB2312" w:hAnsi="仿宋_GB2312" w:cs="仿宋_GB2312"/>
          <w:szCs w:val="32"/>
        </w:rPr>
        <w:t>政府的正确领导下，在上级业务部门的大力指导下，</w:t>
      </w:r>
      <w:r>
        <w:rPr>
          <w:rFonts w:ascii="仿宋_GB2312" w:hAnsi="仿宋_GB2312" w:cs="仿宋_GB2312" w:hint="eastAsia"/>
          <w:szCs w:val="32"/>
        </w:rPr>
        <w:t>牢固树立大健康、大卫生的理念，坚持狠抓工作落实总基调，党的领导和党的建设更加坚强有力，深化</w:t>
      </w:r>
      <w:proofErr w:type="gramStart"/>
      <w:r>
        <w:rPr>
          <w:rFonts w:ascii="仿宋_GB2312" w:hAnsi="仿宋_GB2312" w:cs="仿宋_GB2312" w:hint="eastAsia"/>
          <w:szCs w:val="32"/>
        </w:rPr>
        <w:t>医改取得</w:t>
      </w:r>
      <w:proofErr w:type="gramEnd"/>
      <w:r>
        <w:rPr>
          <w:rFonts w:ascii="仿宋_GB2312" w:hAnsi="仿宋_GB2312" w:cs="仿宋_GB2312" w:hint="eastAsia"/>
          <w:szCs w:val="32"/>
        </w:rPr>
        <w:t>重要进展，医疗服务能力稳步提升，重大疾病防控和卫生应急工作持续加强，中医药传承创新发展迈出坚实步伐，重点人群健康服务扎实推进，人民健康获得</w:t>
      </w:r>
      <w:proofErr w:type="gramStart"/>
      <w:r>
        <w:rPr>
          <w:rFonts w:ascii="仿宋_GB2312" w:hAnsi="仿宋_GB2312" w:cs="仿宋_GB2312" w:hint="eastAsia"/>
          <w:szCs w:val="32"/>
        </w:rPr>
        <w:t>感不断</w:t>
      </w:r>
      <w:proofErr w:type="gramEnd"/>
      <w:r>
        <w:rPr>
          <w:rFonts w:ascii="仿宋_GB2312" w:hAnsi="仿宋_GB2312" w:cs="仿宋_GB2312" w:hint="eastAsia"/>
          <w:szCs w:val="32"/>
        </w:rPr>
        <w:t>增强。</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bookmarkStart w:id="4" w:name="_Toc57719794"/>
      <w:r>
        <w:rPr>
          <w:rFonts w:ascii="仿宋_GB2312" w:hAnsi="仿宋_GB2312" w:cs="仿宋_GB2312" w:hint="eastAsia"/>
          <w:b/>
          <w:bCs/>
          <w:szCs w:val="32"/>
        </w:rPr>
        <w:t>——居民健康水平得到进一步提高。</w:t>
      </w:r>
      <w:bookmarkEnd w:id="4"/>
      <w:r>
        <w:rPr>
          <w:rFonts w:ascii="仿宋_GB2312" w:hAnsi="仿宋_GB2312" w:cs="仿宋_GB2312" w:hint="eastAsia"/>
          <w:szCs w:val="32"/>
        </w:rPr>
        <w:t>2016</w:t>
      </w:r>
      <w:r>
        <w:rPr>
          <w:rFonts w:ascii="仿宋_GB2312" w:hAnsi="仿宋_GB2312" w:cs="仿宋_GB2312" w:hint="eastAsia"/>
          <w:szCs w:val="32"/>
        </w:rPr>
        <w:t>年以来，我市按照中央、省、江门市的发展蓝图，系统谋划、全面推进，推动“以治病为中心”向“以人民健康为中心”转变，全力为群众提供预防、医疗、保健为一体的卫生与健康服务。覆盖城乡的医疗卫生服务体系已夯实稳固，卫生健康事业实现</w:t>
      </w:r>
      <w:r>
        <w:rPr>
          <w:rFonts w:ascii="仿宋_GB2312" w:hAnsi="仿宋_GB2312" w:cs="仿宋_GB2312" w:hint="eastAsia"/>
          <w:szCs w:val="32"/>
        </w:rPr>
        <w:lastRenderedPageBreak/>
        <w:t>了</w:t>
      </w:r>
      <w:r>
        <w:rPr>
          <w:rFonts w:ascii="仿宋_GB2312" w:hAnsi="仿宋_GB2312" w:cs="仿宋_GB2312" w:hint="eastAsia"/>
          <w:szCs w:val="32"/>
        </w:rPr>
        <w:t>跨越式发展。</w:t>
      </w:r>
      <w:r>
        <w:rPr>
          <w:rFonts w:ascii="仿宋_GB2312" w:hAnsi="仿宋_GB2312" w:cs="仿宋_GB2312" w:hint="eastAsia"/>
          <w:szCs w:val="32"/>
        </w:rPr>
        <w:t>2019</w:t>
      </w:r>
      <w:r>
        <w:rPr>
          <w:rFonts w:ascii="仿宋_GB2312" w:hAnsi="仿宋_GB2312" w:cs="仿宋_GB2312" w:hint="eastAsia"/>
          <w:szCs w:val="32"/>
        </w:rPr>
        <w:t>年，我市人口总数达</w:t>
      </w:r>
      <w:r>
        <w:rPr>
          <w:rFonts w:ascii="仿宋_GB2312" w:hAnsi="仿宋_GB2312" w:cs="仿宋_GB2312" w:hint="eastAsia"/>
          <w:szCs w:val="32"/>
        </w:rPr>
        <w:t>70.35</w:t>
      </w:r>
      <w:r>
        <w:rPr>
          <w:rFonts w:ascii="仿宋_GB2312" w:hAnsi="仿宋_GB2312" w:cs="仿宋_GB2312" w:hint="eastAsia"/>
          <w:szCs w:val="32"/>
        </w:rPr>
        <w:t>万人，出生人口</w:t>
      </w:r>
      <w:r>
        <w:rPr>
          <w:rFonts w:ascii="仿宋_GB2312" w:hAnsi="仿宋_GB2312" w:cs="仿宋_GB2312" w:hint="eastAsia"/>
          <w:szCs w:val="32"/>
        </w:rPr>
        <w:t>7055</w:t>
      </w:r>
      <w:r>
        <w:rPr>
          <w:rFonts w:ascii="仿宋_GB2312" w:hAnsi="仿宋_GB2312" w:cs="仿宋_GB2312" w:hint="eastAsia"/>
          <w:szCs w:val="32"/>
        </w:rPr>
        <w:t>人，</w:t>
      </w:r>
      <w:proofErr w:type="gramStart"/>
      <w:r>
        <w:rPr>
          <w:rFonts w:ascii="仿宋_GB2312" w:hAnsi="仿宋_GB2312" w:cs="仿宋_GB2312" w:hint="eastAsia"/>
          <w:szCs w:val="32"/>
        </w:rPr>
        <w:t>二孩及以上</w:t>
      </w:r>
      <w:proofErr w:type="gramEnd"/>
      <w:r>
        <w:rPr>
          <w:rFonts w:ascii="仿宋_GB2312" w:hAnsi="仿宋_GB2312" w:cs="仿宋_GB2312" w:hint="eastAsia"/>
          <w:szCs w:val="32"/>
        </w:rPr>
        <w:t>孩子占比为</w:t>
      </w:r>
      <w:r>
        <w:rPr>
          <w:rFonts w:ascii="仿宋_GB2312" w:hAnsi="仿宋_GB2312" w:cs="仿宋_GB2312" w:hint="eastAsia"/>
          <w:szCs w:val="32"/>
        </w:rPr>
        <w:t>54.66%</w:t>
      </w:r>
      <w:r>
        <w:rPr>
          <w:rFonts w:ascii="仿宋_GB2312" w:hAnsi="仿宋_GB2312" w:cs="仿宋_GB2312" w:hint="eastAsia"/>
          <w:szCs w:val="32"/>
        </w:rPr>
        <w:t>，出生人口性别男女比为</w:t>
      </w:r>
      <w:r>
        <w:rPr>
          <w:rFonts w:ascii="仿宋_GB2312" w:hAnsi="仿宋_GB2312" w:cs="仿宋_GB2312" w:hint="eastAsia"/>
          <w:szCs w:val="32"/>
        </w:rPr>
        <w:t>106.29</w:t>
      </w:r>
      <w:r>
        <w:rPr>
          <w:rFonts w:ascii="仿宋_GB2312" w:hAnsi="仿宋_GB2312" w:cs="仿宋_GB2312" w:hint="eastAsia"/>
          <w:szCs w:val="32"/>
        </w:rPr>
        <w:t>：</w:t>
      </w:r>
      <w:r>
        <w:rPr>
          <w:rFonts w:ascii="仿宋_GB2312" w:hAnsi="仿宋_GB2312" w:cs="仿宋_GB2312" w:hint="eastAsia"/>
          <w:szCs w:val="32"/>
        </w:rPr>
        <w:t>100</w:t>
      </w:r>
      <w:r>
        <w:rPr>
          <w:rFonts w:ascii="仿宋_GB2312" w:hAnsi="仿宋_GB2312" w:cs="仿宋_GB2312" w:hint="eastAsia"/>
          <w:szCs w:val="32"/>
        </w:rPr>
        <w:t>；居民人均预期寿命</w:t>
      </w:r>
      <w:r>
        <w:rPr>
          <w:rFonts w:ascii="仿宋_GB2312" w:hAnsi="仿宋_GB2312" w:cs="仿宋_GB2312" w:hint="eastAsia"/>
          <w:szCs w:val="32"/>
        </w:rPr>
        <w:t>79.57</w:t>
      </w:r>
      <w:r>
        <w:rPr>
          <w:rFonts w:ascii="仿宋_GB2312" w:hAnsi="仿宋_GB2312" w:cs="仿宋_GB2312" w:hint="eastAsia"/>
          <w:szCs w:val="32"/>
        </w:rPr>
        <w:t>岁；</w:t>
      </w:r>
      <w:proofErr w:type="gramStart"/>
      <w:r>
        <w:rPr>
          <w:rFonts w:ascii="仿宋_GB2312" w:hAnsi="仿宋_GB2312" w:cs="仿宋_GB2312" w:hint="eastAsia"/>
          <w:szCs w:val="32"/>
        </w:rPr>
        <w:t>孕</w:t>
      </w:r>
      <w:proofErr w:type="gramEnd"/>
      <w:r>
        <w:rPr>
          <w:rFonts w:ascii="仿宋_GB2312" w:hAnsi="仿宋_GB2312" w:cs="仿宋_GB2312" w:hint="eastAsia"/>
          <w:szCs w:val="32"/>
        </w:rPr>
        <w:t>产妇死亡率为</w:t>
      </w:r>
      <w:r>
        <w:rPr>
          <w:rFonts w:ascii="仿宋_GB2312" w:hAnsi="仿宋_GB2312" w:cs="仿宋_GB2312" w:hint="eastAsia"/>
          <w:szCs w:val="32"/>
        </w:rPr>
        <w:t>0</w:t>
      </w:r>
      <w:r>
        <w:rPr>
          <w:rFonts w:ascii="仿宋_GB2312" w:hAnsi="仿宋_GB2312" w:cs="仿宋_GB2312" w:hint="eastAsia"/>
          <w:szCs w:val="32"/>
        </w:rPr>
        <w:t>，婴儿死亡率</w:t>
      </w:r>
      <w:r>
        <w:rPr>
          <w:rFonts w:ascii="仿宋_GB2312" w:hAnsi="仿宋_GB2312" w:cs="仿宋_GB2312" w:hint="eastAsia"/>
          <w:szCs w:val="32"/>
        </w:rPr>
        <w:t>0.68</w:t>
      </w:r>
      <w:r>
        <w:rPr>
          <w:rFonts w:ascii="仿宋_GB2312" w:hAnsi="仿宋_GB2312" w:cs="仿宋_GB2312" w:hint="eastAsia"/>
          <w:szCs w:val="32"/>
        </w:rPr>
        <w:t>‰，主要健康指标优于全国全省平均水平。</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bookmarkStart w:id="5" w:name="_Toc57719795"/>
      <w:r>
        <w:rPr>
          <w:rFonts w:ascii="仿宋_GB2312" w:hAnsi="仿宋_GB2312" w:cs="仿宋_GB2312" w:hint="eastAsia"/>
          <w:b/>
          <w:bCs/>
          <w:szCs w:val="32"/>
        </w:rPr>
        <w:t>——医疗卫生资源配置进一步优化。</w:t>
      </w:r>
      <w:bookmarkEnd w:id="5"/>
      <w:r>
        <w:rPr>
          <w:rFonts w:ascii="仿宋_GB2312" w:hAnsi="仿宋_GB2312" w:cs="仿宋_GB2312" w:hint="eastAsia"/>
          <w:szCs w:val="32"/>
        </w:rPr>
        <w:t>逐步构建以市直综合医院为龙头，专科医院为两翼，社区卫生服务机构、乡镇卫生院为骨干，村卫生室为基础，门诊部、诊所等为补充的城乡医疗卫生服务体系。半小时医疗</w:t>
      </w:r>
      <w:proofErr w:type="gramStart"/>
      <w:r>
        <w:rPr>
          <w:rFonts w:ascii="仿宋_GB2312" w:hAnsi="仿宋_GB2312" w:cs="仿宋_GB2312" w:hint="eastAsia"/>
          <w:szCs w:val="32"/>
        </w:rPr>
        <w:t>圈基本</w:t>
      </w:r>
      <w:proofErr w:type="gramEnd"/>
      <w:r>
        <w:rPr>
          <w:rFonts w:ascii="仿宋_GB2312" w:hAnsi="仿宋_GB2312" w:cs="仿宋_GB2312" w:hint="eastAsia"/>
          <w:szCs w:val="32"/>
        </w:rPr>
        <w:t>建成。将市第二人民医院、马冈镇卫生院、水口医院三个</w:t>
      </w:r>
      <w:proofErr w:type="gramStart"/>
      <w:r>
        <w:rPr>
          <w:rFonts w:ascii="仿宋_GB2312" w:hAnsi="仿宋_GB2312" w:cs="仿宋_GB2312" w:hint="eastAsia"/>
          <w:szCs w:val="32"/>
        </w:rPr>
        <w:t>医</w:t>
      </w:r>
      <w:proofErr w:type="gramEnd"/>
      <w:r>
        <w:rPr>
          <w:rFonts w:ascii="仿宋_GB2312" w:hAnsi="仿宋_GB2312" w:cs="仿宋_GB2312" w:hint="eastAsia"/>
          <w:szCs w:val="32"/>
        </w:rPr>
        <w:t>联体分院建设成</w:t>
      </w:r>
      <w:r>
        <w:rPr>
          <w:rFonts w:ascii="仿宋_GB2312" w:hAnsi="仿宋_GB2312" w:cs="仿宋_GB2312" w:hint="eastAsia"/>
          <w:szCs w:val="32"/>
        </w:rPr>
        <w:t>我市三个“医疗次中心”，使我市西北、西南及东部的基层群众均可享受家门口的二级医院医疗服务。积极配合推进区域卫生健康信息平台建设，面向基层提供远程会诊、远程心电诊断、远程影像诊断等服务，推进同级医疗机构间以及独立检查检验机构间检查检验结果互认，推动区域医疗资源共享。完善市医疗急救中心（</w:t>
      </w:r>
      <w:r>
        <w:rPr>
          <w:rFonts w:ascii="仿宋_GB2312" w:hAnsi="仿宋_GB2312" w:cs="仿宋_GB2312"/>
          <w:szCs w:val="32"/>
        </w:rPr>
        <w:t>120</w:t>
      </w:r>
      <w:r>
        <w:rPr>
          <w:rFonts w:ascii="仿宋_GB2312" w:hAnsi="仿宋_GB2312" w:cs="仿宋_GB2312"/>
          <w:szCs w:val="32"/>
        </w:rPr>
        <w:t>指挥中心）建设和院前急救体系建设，进一步提高了紧急医疗救援能力。推动我市急性胸痛患者的区域救治网络建设，开平市中心医院胸</w:t>
      </w:r>
      <w:proofErr w:type="gramStart"/>
      <w:r>
        <w:rPr>
          <w:rFonts w:ascii="仿宋_GB2312" w:hAnsi="仿宋_GB2312" w:cs="仿宋_GB2312"/>
          <w:szCs w:val="32"/>
        </w:rPr>
        <w:t>痛中心</w:t>
      </w:r>
      <w:proofErr w:type="gramEnd"/>
      <w:r>
        <w:rPr>
          <w:rFonts w:ascii="仿宋_GB2312" w:hAnsi="仿宋_GB2312" w:cs="仿宋_GB2312"/>
          <w:szCs w:val="32"/>
        </w:rPr>
        <w:t>成功通过</w:t>
      </w:r>
      <w:r>
        <w:rPr>
          <w:rFonts w:ascii="仿宋_GB2312" w:hAnsi="仿宋_GB2312" w:cs="仿宋_GB2312" w:hint="eastAsia"/>
          <w:szCs w:val="32"/>
        </w:rPr>
        <w:t>国家级</w:t>
      </w:r>
      <w:r>
        <w:rPr>
          <w:rFonts w:ascii="仿宋_GB2312" w:hAnsi="仿宋_GB2312" w:cs="仿宋_GB2312"/>
          <w:szCs w:val="32"/>
        </w:rPr>
        <w:t>胸</w:t>
      </w:r>
      <w:proofErr w:type="gramStart"/>
      <w:r>
        <w:rPr>
          <w:rFonts w:ascii="仿宋_GB2312" w:hAnsi="仿宋_GB2312" w:cs="仿宋_GB2312"/>
          <w:szCs w:val="32"/>
        </w:rPr>
        <w:t>痛中心</w:t>
      </w:r>
      <w:proofErr w:type="gramEnd"/>
      <w:r>
        <w:rPr>
          <w:rFonts w:ascii="仿宋_GB2312" w:hAnsi="仿宋_GB2312" w:cs="仿宋_GB2312"/>
          <w:szCs w:val="32"/>
        </w:rPr>
        <w:t>协会的验收</w:t>
      </w:r>
      <w:r>
        <w:rPr>
          <w:rFonts w:ascii="仿宋_GB2312" w:hAnsi="仿宋_GB2312" w:cs="仿宋_GB2312" w:hint="eastAsia"/>
          <w:szCs w:val="32"/>
        </w:rPr>
        <w:t>，</w:t>
      </w:r>
      <w:r>
        <w:rPr>
          <w:rFonts w:ascii="仿宋_GB2312" w:hAnsi="仿宋_GB2312" w:cs="仿宋_GB2312"/>
          <w:szCs w:val="32"/>
        </w:rPr>
        <w:t>并于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月正式挂牌</w:t>
      </w:r>
      <w:r>
        <w:rPr>
          <w:rFonts w:ascii="仿宋_GB2312" w:hAnsi="仿宋_GB2312" w:cs="仿宋_GB2312"/>
          <w:szCs w:val="32"/>
        </w:rPr>
        <w:t>。</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bookmarkStart w:id="6" w:name="_Toc57719796"/>
      <w:r>
        <w:rPr>
          <w:rFonts w:ascii="仿宋_GB2312" w:hAnsi="仿宋_GB2312" w:cs="仿宋_GB2312" w:hint="eastAsia"/>
          <w:b/>
          <w:bCs/>
          <w:szCs w:val="32"/>
        </w:rPr>
        <w:t>——医药卫生体制改革持续深化。</w:t>
      </w:r>
      <w:bookmarkEnd w:id="6"/>
      <w:r>
        <w:rPr>
          <w:rFonts w:ascii="仿宋_GB2312" w:hAnsi="仿宋_GB2312" w:cs="仿宋_GB2312"/>
          <w:szCs w:val="32"/>
        </w:rPr>
        <w:t>加</w:t>
      </w:r>
      <w:r>
        <w:rPr>
          <w:rFonts w:ascii="仿宋_GB2312" w:hAnsi="仿宋_GB2312" w:cs="仿宋_GB2312"/>
          <w:szCs w:val="32"/>
        </w:rPr>
        <w:t>强分级诊疗制度建设，建立和完善公立医院和基层医疗机构之间的便捷转诊通道，制定双向转诊流程，确保双向转诊工作落到实处。</w:t>
      </w:r>
      <w:r>
        <w:rPr>
          <w:rFonts w:ascii="仿宋_GB2312" w:hAnsi="仿宋_GB2312" w:cs="仿宋_GB2312"/>
          <w:szCs w:val="32"/>
        </w:rPr>
        <w:t>2020</w:t>
      </w:r>
      <w:r>
        <w:rPr>
          <w:rFonts w:ascii="仿宋_GB2312" w:hAnsi="仿宋_GB2312" w:cs="仿宋_GB2312"/>
          <w:szCs w:val="32"/>
        </w:rPr>
        <w:t>年</w:t>
      </w:r>
      <w:r>
        <w:rPr>
          <w:rFonts w:ascii="仿宋_GB2312" w:hAnsi="仿宋_GB2312" w:cs="仿宋_GB2312"/>
          <w:szCs w:val="32"/>
        </w:rPr>
        <w:t>4</w:t>
      </w:r>
      <w:r>
        <w:rPr>
          <w:rFonts w:ascii="仿宋_GB2312" w:hAnsi="仿宋_GB2312" w:cs="仿宋_GB2312"/>
          <w:szCs w:val="32"/>
        </w:rPr>
        <w:t>月，以中心医院为总院、</w:t>
      </w:r>
      <w:r>
        <w:rPr>
          <w:rFonts w:ascii="仿宋_GB2312" w:hAnsi="仿宋_GB2312" w:cs="仿宋_GB2312"/>
          <w:szCs w:val="32"/>
        </w:rPr>
        <w:t>18</w:t>
      </w:r>
      <w:r>
        <w:rPr>
          <w:rFonts w:ascii="仿宋_GB2312" w:hAnsi="仿宋_GB2312" w:cs="仿宋_GB2312" w:hint="eastAsia"/>
          <w:bCs/>
          <w:kern w:val="0"/>
          <w:szCs w:val="32"/>
        </w:rPr>
        <w:t>所</w:t>
      </w:r>
      <w:r>
        <w:rPr>
          <w:rFonts w:ascii="仿宋_GB2312" w:hAnsi="仿宋_GB2312" w:cs="仿宋_GB2312"/>
          <w:szCs w:val="32"/>
        </w:rPr>
        <w:t>医疗卫生单位为成员单位</w:t>
      </w:r>
      <w:r>
        <w:rPr>
          <w:rFonts w:ascii="仿宋_GB2312" w:hAnsi="仿宋_GB2312" w:cs="仿宋_GB2312"/>
          <w:szCs w:val="32"/>
        </w:rPr>
        <w:lastRenderedPageBreak/>
        <w:t>的县域</w:t>
      </w:r>
      <w:proofErr w:type="gramStart"/>
      <w:r>
        <w:rPr>
          <w:rFonts w:ascii="仿宋_GB2312" w:hAnsi="仿宋_GB2312" w:cs="仿宋_GB2312"/>
          <w:szCs w:val="32"/>
        </w:rPr>
        <w:t>医</w:t>
      </w:r>
      <w:proofErr w:type="gramEnd"/>
      <w:r>
        <w:rPr>
          <w:rFonts w:ascii="仿宋_GB2312" w:hAnsi="仿宋_GB2312" w:cs="仿宋_GB2312"/>
          <w:szCs w:val="32"/>
        </w:rPr>
        <w:t>共体挂牌成立，推动城乡医疗资源纵向整合，进一步提高了我市卫生健康整体服务水平。截至目前，我市县域住院率为</w:t>
      </w:r>
      <w:r>
        <w:rPr>
          <w:rFonts w:ascii="仿宋_GB2312" w:hAnsi="仿宋_GB2312" w:cs="仿宋_GB2312"/>
          <w:szCs w:val="32"/>
        </w:rPr>
        <w:t>89%</w:t>
      </w:r>
      <w:r>
        <w:rPr>
          <w:rFonts w:ascii="仿宋_GB2312" w:hAnsi="仿宋_GB2312" w:cs="仿宋_GB2312"/>
          <w:szCs w:val="32"/>
        </w:rPr>
        <w:t>，基本实现了大病不出县</w:t>
      </w:r>
      <w:r>
        <w:rPr>
          <w:rFonts w:ascii="仿宋_GB2312" w:hAnsi="仿宋_GB2312" w:cs="仿宋_GB2312" w:hint="eastAsia"/>
          <w:szCs w:val="32"/>
        </w:rPr>
        <w:t>。</w:t>
      </w:r>
      <w:r>
        <w:rPr>
          <w:rFonts w:ascii="仿宋_GB2312" w:hAnsi="仿宋_GB2312" w:cs="仿宋_GB2312"/>
          <w:szCs w:val="32"/>
        </w:rPr>
        <w:t>“</w:t>
      </w:r>
      <w:r>
        <w:rPr>
          <w:rFonts w:ascii="仿宋_GB2312" w:hAnsi="仿宋_GB2312" w:cs="仿宋_GB2312"/>
          <w:szCs w:val="32"/>
        </w:rPr>
        <w:t>三医联动</w:t>
      </w:r>
      <w:r>
        <w:rPr>
          <w:rFonts w:ascii="仿宋_GB2312" w:hAnsi="仿宋_GB2312" w:cs="仿宋_GB2312"/>
          <w:szCs w:val="32"/>
        </w:rPr>
        <w:t>”</w:t>
      </w:r>
      <w:r>
        <w:rPr>
          <w:rFonts w:ascii="仿宋_GB2312" w:hAnsi="仿宋_GB2312" w:cs="仿宋_GB2312"/>
          <w:szCs w:val="32"/>
        </w:rPr>
        <w:t>同向发力，协调推进</w:t>
      </w:r>
      <w:proofErr w:type="gramStart"/>
      <w:r>
        <w:rPr>
          <w:rFonts w:ascii="仿宋_GB2312" w:hAnsi="仿宋_GB2312" w:cs="仿宋_GB2312"/>
          <w:szCs w:val="32"/>
        </w:rPr>
        <w:t>医</w:t>
      </w:r>
      <w:proofErr w:type="gramEnd"/>
      <w:r>
        <w:rPr>
          <w:rFonts w:ascii="仿宋_GB2312" w:hAnsi="仿宋_GB2312" w:cs="仿宋_GB2312"/>
          <w:szCs w:val="32"/>
        </w:rPr>
        <w:t>保支付制度改革，基本药物制度综合试点启动实施，取消医用耗材加成政策，完善不同级别医疗机构的</w:t>
      </w:r>
      <w:proofErr w:type="gramStart"/>
      <w:r>
        <w:rPr>
          <w:rFonts w:ascii="仿宋_GB2312" w:hAnsi="仿宋_GB2312" w:cs="仿宋_GB2312"/>
          <w:szCs w:val="32"/>
        </w:rPr>
        <w:t>医</w:t>
      </w:r>
      <w:proofErr w:type="gramEnd"/>
      <w:r>
        <w:rPr>
          <w:rFonts w:ascii="仿宋_GB2312" w:hAnsi="仿宋_GB2312" w:cs="仿宋_GB2312"/>
          <w:szCs w:val="32"/>
        </w:rPr>
        <w:t>保差异化支付政策，短缺药品保供稳价惠及患者，临床合理用药更加规范。在</w:t>
      </w:r>
      <w:r>
        <w:rPr>
          <w:rFonts w:ascii="仿宋_GB2312" w:hAnsi="仿宋_GB2312" w:cs="仿宋_GB2312"/>
          <w:szCs w:val="32"/>
        </w:rPr>
        <w:t>江门市率先启动现代医院管理制度，落实党委</w:t>
      </w:r>
      <w:r>
        <w:rPr>
          <w:rFonts w:ascii="仿宋_GB2312" w:hAnsi="仿宋_GB2312" w:cs="仿宋_GB2312" w:hint="eastAsia"/>
          <w:szCs w:val="32"/>
        </w:rPr>
        <w:t>领导下的院长负责制。加快推进公立医院改革，全面开展公立医院绩效考核机制，切实建立起维护公益性、调动积极性、保障可持续的公立医院运行新机制。赋予基层医疗机构足够的绩效分配权，允许医疗服务收入扣除成本并按规定提取各项基金后主要用于人员奖励。</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bookmarkStart w:id="7" w:name="_Toc57719797"/>
      <w:r>
        <w:rPr>
          <w:rFonts w:ascii="仿宋_GB2312" w:hAnsi="仿宋_GB2312" w:cs="仿宋_GB2312" w:hint="eastAsia"/>
          <w:b/>
          <w:bCs/>
          <w:szCs w:val="32"/>
        </w:rPr>
        <w:t>——医疗卫生服务能力不断增强</w:t>
      </w:r>
      <w:bookmarkEnd w:id="7"/>
      <w:r>
        <w:rPr>
          <w:rFonts w:ascii="仿宋_GB2312" w:hAnsi="仿宋_GB2312" w:cs="仿宋_GB2312" w:hint="eastAsia"/>
          <w:b/>
          <w:bCs/>
          <w:szCs w:val="32"/>
        </w:rPr>
        <w:t>。</w:t>
      </w:r>
      <w:r>
        <w:rPr>
          <w:rFonts w:ascii="仿宋_GB2312" w:hAnsi="仿宋_GB2312" w:cs="仿宋_GB2312"/>
          <w:szCs w:val="32"/>
        </w:rPr>
        <w:t>通过人才引进</w:t>
      </w:r>
      <w:r>
        <w:rPr>
          <w:rFonts w:ascii="仿宋_GB2312" w:hAnsi="仿宋_GB2312" w:cs="仿宋_GB2312" w:hint="eastAsia"/>
          <w:szCs w:val="32"/>
        </w:rPr>
        <w:t>与培养</w:t>
      </w:r>
      <w:r>
        <w:rPr>
          <w:rFonts w:ascii="仿宋_GB2312" w:hAnsi="仿宋_GB2312" w:cs="仿宋_GB2312"/>
          <w:szCs w:val="32"/>
        </w:rPr>
        <w:t>、</w:t>
      </w:r>
      <w:r>
        <w:rPr>
          <w:rFonts w:ascii="仿宋_GB2312" w:hAnsi="仿宋_GB2312" w:cs="仿宋_GB2312" w:hint="eastAsia"/>
          <w:szCs w:val="32"/>
        </w:rPr>
        <w:t>基础医疗设施设备的</w:t>
      </w:r>
      <w:r>
        <w:rPr>
          <w:rFonts w:ascii="仿宋_GB2312" w:hAnsi="仿宋_GB2312" w:cs="仿宋_GB2312"/>
          <w:szCs w:val="32"/>
        </w:rPr>
        <w:t>改善、学术</w:t>
      </w:r>
      <w:r>
        <w:rPr>
          <w:rFonts w:ascii="仿宋_GB2312" w:hAnsi="仿宋_GB2312" w:cs="仿宋_GB2312" w:hint="eastAsia"/>
          <w:szCs w:val="32"/>
        </w:rPr>
        <w:t>氛围的营造与</w:t>
      </w:r>
      <w:r>
        <w:rPr>
          <w:rFonts w:ascii="仿宋_GB2312" w:hAnsi="仿宋_GB2312" w:cs="仿宋_GB2312"/>
          <w:szCs w:val="32"/>
        </w:rPr>
        <w:t>影响、远程医疗</w:t>
      </w:r>
      <w:r>
        <w:rPr>
          <w:rFonts w:ascii="仿宋_GB2312" w:hAnsi="仿宋_GB2312" w:cs="仿宋_GB2312" w:hint="eastAsia"/>
          <w:szCs w:val="32"/>
        </w:rPr>
        <w:t>与</w:t>
      </w:r>
      <w:r>
        <w:rPr>
          <w:rFonts w:ascii="仿宋_GB2312" w:hAnsi="仿宋_GB2312" w:cs="仿宋_GB2312"/>
          <w:szCs w:val="32"/>
        </w:rPr>
        <w:t>信息化管理等措施打造优势临床专科，努力提升重点专科的综合优势和整体服务水平，提高就诊率。我市拥有广东省临床重点专科</w:t>
      </w:r>
      <w:r>
        <w:rPr>
          <w:rFonts w:ascii="仿宋_GB2312" w:hAnsi="仿宋_GB2312" w:cs="仿宋_GB2312"/>
          <w:szCs w:val="32"/>
        </w:rPr>
        <w:t>1</w:t>
      </w:r>
      <w:r>
        <w:rPr>
          <w:rFonts w:ascii="仿宋_GB2312" w:hAnsi="仿宋_GB2312" w:cs="仿宋_GB2312"/>
          <w:szCs w:val="32"/>
        </w:rPr>
        <w:t>个</w:t>
      </w:r>
      <w:r>
        <w:rPr>
          <w:rFonts w:ascii="仿宋_GB2312" w:hAnsi="仿宋_GB2312" w:cs="仿宋_GB2312" w:hint="eastAsia"/>
          <w:szCs w:val="32"/>
        </w:rPr>
        <w:t>，</w:t>
      </w:r>
      <w:r>
        <w:rPr>
          <w:rFonts w:ascii="仿宋_GB2312" w:hAnsi="仿宋_GB2312" w:cs="仿宋_GB2312"/>
          <w:szCs w:val="32"/>
        </w:rPr>
        <w:t>广东省中</w:t>
      </w:r>
      <w:r>
        <w:rPr>
          <w:rFonts w:ascii="仿宋_GB2312" w:hAnsi="仿宋_GB2312" w:cs="仿宋_GB2312"/>
          <w:szCs w:val="32"/>
        </w:rPr>
        <w:t>医特色专科</w:t>
      </w:r>
      <w:r>
        <w:rPr>
          <w:rFonts w:ascii="仿宋_GB2312" w:hAnsi="仿宋_GB2312" w:cs="仿宋_GB2312"/>
          <w:szCs w:val="32"/>
        </w:rPr>
        <w:t>3</w:t>
      </w:r>
      <w:r>
        <w:rPr>
          <w:rFonts w:ascii="仿宋_GB2312" w:hAnsi="仿宋_GB2312" w:cs="仿宋_GB2312"/>
          <w:szCs w:val="32"/>
        </w:rPr>
        <w:t>个</w:t>
      </w:r>
      <w:r>
        <w:rPr>
          <w:rFonts w:ascii="仿宋_GB2312" w:hAnsi="仿宋_GB2312" w:cs="仿宋_GB2312" w:hint="eastAsia"/>
          <w:szCs w:val="32"/>
        </w:rPr>
        <w:t>，</w:t>
      </w:r>
      <w:r>
        <w:rPr>
          <w:rFonts w:ascii="仿宋_GB2312" w:hAnsi="仿宋_GB2312" w:cs="仿宋_GB2312"/>
          <w:szCs w:val="32"/>
        </w:rPr>
        <w:t>江门市临床重点专科</w:t>
      </w:r>
      <w:r>
        <w:rPr>
          <w:rFonts w:ascii="仿宋_GB2312" w:hAnsi="仿宋_GB2312" w:cs="仿宋_GB2312"/>
          <w:szCs w:val="32"/>
        </w:rPr>
        <w:t>5</w:t>
      </w:r>
      <w:r>
        <w:rPr>
          <w:rFonts w:ascii="仿宋_GB2312" w:hAnsi="仿宋_GB2312" w:cs="仿宋_GB2312"/>
          <w:szCs w:val="32"/>
        </w:rPr>
        <w:t>个</w:t>
      </w:r>
      <w:r>
        <w:rPr>
          <w:rFonts w:ascii="仿宋_GB2312" w:hAnsi="仿宋_GB2312" w:cs="仿宋_GB2312" w:hint="eastAsia"/>
          <w:szCs w:val="32"/>
        </w:rPr>
        <w:t>，</w:t>
      </w:r>
      <w:r>
        <w:rPr>
          <w:rFonts w:ascii="仿宋_GB2312" w:hAnsi="仿宋_GB2312" w:cs="仿宋_GB2312"/>
          <w:szCs w:val="32"/>
        </w:rPr>
        <w:t>江门市中医重点专科</w:t>
      </w:r>
      <w:r>
        <w:rPr>
          <w:rFonts w:ascii="仿宋_GB2312" w:hAnsi="仿宋_GB2312" w:cs="仿宋_GB2312"/>
          <w:szCs w:val="32"/>
        </w:rPr>
        <w:t>2</w:t>
      </w:r>
      <w:r>
        <w:rPr>
          <w:rFonts w:ascii="仿宋_GB2312" w:hAnsi="仿宋_GB2312" w:cs="仿宋_GB2312"/>
          <w:szCs w:val="32"/>
        </w:rPr>
        <w:t>个。开平市第三人民医院</w:t>
      </w:r>
      <w:r>
        <w:rPr>
          <w:rFonts w:ascii="仿宋_GB2312" w:hAnsi="仿宋_GB2312" w:cs="仿宋_GB2312" w:hint="eastAsia"/>
          <w:szCs w:val="32"/>
        </w:rPr>
        <w:t>2015-2019</w:t>
      </w:r>
      <w:r>
        <w:rPr>
          <w:rFonts w:ascii="仿宋_GB2312" w:hAnsi="仿宋_GB2312" w:cs="仿宋_GB2312" w:hint="eastAsia"/>
          <w:szCs w:val="32"/>
        </w:rPr>
        <w:t>年度</w:t>
      </w:r>
      <w:r>
        <w:rPr>
          <w:rFonts w:ascii="仿宋_GB2312" w:hAnsi="仿宋_GB2312" w:cs="仿宋_GB2312"/>
          <w:szCs w:val="32"/>
        </w:rPr>
        <w:t>连续</w:t>
      </w:r>
      <w:r>
        <w:rPr>
          <w:rFonts w:ascii="仿宋_GB2312" w:hAnsi="仿宋_GB2312" w:cs="仿宋_GB2312" w:hint="eastAsia"/>
          <w:szCs w:val="32"/>
        </w:rPr>
        <w:t>五年获得广东省精神卫生中心颁发的“广东省严重精神障碍管理治疗工作先进县区”嘉奖。</w:t>
      </w:r>
      <w:r>
        <w:rPr>
          <w:rFonts w:ascii="仿宋_GB2312" w:hAnsi="仿宋_GB2312" w:cs="仿宋_GB2312"/>
          <w:szCs w:val="32"/>
        </w:rPr>
        <w:t>同时，在乡镇卫生院开展乡镇卫生院</w:t>
      </w:r>
      <w:r>
        <w:rPr>
          <w:rFonts w:ascii="仿宋_GB2312" w:hAnsi="仿宋_GB2312" w:cs="仿宋_GB2312"/>
          <w:szCs w:val="32"/>
        </w:rPr>
        <w:t>“</w:t>
      </w:r>
      <w:r>
        <w:rPr>
          <w:rFonts w:ascii="仿宋_GB2312" w:hAnsi="仿宋_GB2312" w:cs="仿宋_GB2312"/>
          <w:szCs w:val="32"/>
        </w:rPr>
        <w:t>一院</w:t>
      </w:r>
      <w:proofErr w:type="gramStart"/>
      <w:r>
        <w:rPr>
          <w:rFonts w:ascii="仿宋_GB2312" w:hAnsi="仿宋_GB2312" w:cs="仿宋_GB2312"/>
          <w:szCs w:val="32"/>
        </w:rPr>
        <w:t>一</w:t>
      </w:r>
      <w:proofErr w:type="gramEnd"/>
      <w:r>
        <w:rPr>
          <w:rFonts w:ascii="仿宋_GB2312" w:hAnsi="仿宋_GB2312" w:cs="仿宋_GB2312"/>
          <w:szCs w:val="32"/>
        </w:rPr>
        <w:t>特色</w:t>
      </w:r>
      <w:r>
        <w:rPr>
          <w:rFonts w:ascii="仿宋_GB2312" w:hAnsi="仿宋_GB2312" w:cs="仿宋_GB2312"/>
          <w:szCs w:val="32"/>
        </w:rPr>
        <w:t>”</w:t>
      </w:r>
      <w:r>
        <w:rPr>
          <w:rFonts w:ascii="仿宋_GB2312" w:hAnsi="仿宋_GB2312" w:cs="仿宋_GB2312"/>
          <w:szCs w:val="32"/>
        </w:rPr>
        <w:t>专科建设</w:t>
      </w:r>
      <w:r>
        <w:rPr>
          <w:rFonts w:ascii="仿宋_GB2312" w:hAnsi="仿宋_GB2312" w:cs="仿宋_GB2312" w:hint="eastAsia"/>
          <w:szCs w:val="32"/>
        </w:rPr>
        <w:t>。鼓励基层开设慢性病联合门诊，提高基层慢病和常见病诊疗能力。</w:t>
      </w:r>
      <w:bookmarkStart w:id="8" w:name="_Hlk50754302"/>
      <w:r>
        <w:rPr>
          <w:rFonts w:ascii="仿宋_GB2312" w:hAnsi="仿宋_GB2312" w:cs="仿宋_GB2312" w:hint="eastAsia"/>
          <w:szCs w:val="32"/>
        </w:rPr>
        <w:t>稳妥推进强基项目，</w:t>
      </w:r>
      <w:bookmarkStart w:id="9" w:name="_Toc57719799"/>
      <w:r>
        <w:rPr>
          <w:rFonts w:ascii="仿宋_GB2312" w:hAnsi="仿宋_GB2312" w:cs="仿宋_GB2312" w:hint="eastAsia"/>
          <w:szCs w:val="32"/>
        </w:rPr>
        <w:t>提升基层服务能力</w:t>
      </w:r>
      <w:bookmarkEnd w:id="9"/>
      <w:r>
        <w:rPr>
          <w:rFonts w:ascii="仿宋_GB2312" w:hAnsi="仿宋_GB2312" w:cs="仿宋_GB2312" w:hint="eastAsia"/>
          <w:szCs w:val="32"/>
        </w:rPr>
        <w:t>。</w:t>
      </w:r>
      <w:bookmarkEnd w:id="8"/>
      <w:r>
        <w:rPr>
          <w:rFonts w:ascii="仿宋_GB2312" w:hAnsi="仿宋_GB2312" w:cs="仿宋_GB2312" w:hint="eastAsia"/>
          <w:szCs w:val="32"/>
        </w:rPr>
        <w:t>全面</w:t>
      </w:r>
      <w:proofErr w:type="gramStart"/>
      <w:r>
        <w:rPr>
          <w:rFonts w:ascii="仿宋_GB2312" w:hAnsi="仿宋_GB2312" w:cs="仿宋_GB2312" w:hint="eastAsia"/>
          <w:szCs w:val="32"/>
        </w:rPr>
        <w:t>推进</w:t>
      </w:r>
      <w:r>
        <w:rPr>
          <w:rFonts w:ascii="仿宋_GB2312" w:hAnsi="仿宋_GB2312" w:cs="仿宋_GB2312"/>
          <w:szCs w:val="32"/>
        </w:rPr>
        <w:t>村</w:t>
      </w:r>
      <w:proofErr w:type="gramEnd"/>
      <w:r>
        <w:rPr>
          <w:rFonts w:ascii="仿宋_GB2312" w:hAnsi="仿宋_GB2312" w:cs="仿宋_GB2312"/>
          <w:szCs w:val="32"/>
        </w:rPr>
        <w:t>卫生站</w:t>
      </w:r>
      <w:r>
        <w:rPr>
          <w:rFonts w:ascii="仿宋_GB2312" w:hAnsi="仿宋_GB2312" w:cs="仿宋_GB2312" w:hint="eastAsia"/>
          <w:szCs w:val="32"/>
        </w:rPr>
        <w:t>建设</w:t>
      </w:r>
      <w:r>
        <w:rPr>
          <w:rFonts w:ascii="仿宋_GB2312" w:hAnsi="仿宋_GB2312" w:cs="仿宋_GB2312"/>
          <w:szCs w:val="32"/>
        </w:rPr>
        <w:t>规范化建设</w:t>
      </w:r>
      <w:r>
        <w:rPr>
          <w:rFonts w:ascii="仿宋_GB2312" w:hAnsi="仿宋_GB2312" w:cs="仿宋_GB2312" w:hint="eastAsia"/>
          <w:szCs w:val="32"/>
        </w:rPr>
        <w:t>。“十三五”期间，</w:t>
      </w:r>
      <w:r>
        <w:rPr>
          <w:rFonts w:ascii="仿宋_GB2312" w:hAnsi="仿宋_GB2312" w:cs="仿宋_GB2312"/>
          <w:szCs w:val="32"/>
        </w:rPr>
        <w:t>各级财政共</w:t>
      </w:r>
      <w:r>
        <w:rPr>
          <w:rFonts w:ascii="仿宋_GB2312" w:hAnsi="仿宋_GB2312" w:cs="仿宋_GB2312"/>
          <w:szCs w:val="32"/>
        </w:rPr>
        <w:lastRenderedPageBreak/>
        <w:t>投入</w:t>
      </w:r>
      <w:r>
        <w:rPr>
          <w:rFonts w:ascii="仿宋_GB2312" w:hAnsi="仿宋_GB2312" w:cs="仿宋_GB2312"/>
          <w:szCs w:val="32"/>
        </w:rPr>
        <w:t>2414.02</w:t>
      </w:r>
      <w:r>
        <w:rPr>
          <w:rFonts w:ascii="仿宋_GB2312" w:hAnsi="仿宋_GB2312" w:cs="仿宋_GB2312"/>
          <w:szCs w:val="32"/>
        </w:rPr>
        <w:t>万元</w:t>
      </w:r>
      <w:r>
        <w:rPr>
          <w:rFonts w:ascii="仿宋_GB2312" w:hAnsi="仿宋_GB2312" w:cs="仿宋_GB2312" w:hint="eastAsia"/>
          <w:szCs w:val="32"/>
        </w:rPr>
        <w:t>（其中</w:t>
      </w:r>
      <w:r>
        <w:rPr>
          <w:rFonts w:ascii="仿宋_GB2312" w:hAnsi="仿宋_GB2312" w:cs="仿宋_GB2312"/>
          <w:szCs w:val="32"/>
        </w:rPr>
        <w:t>开平市级财政累计投入资金</w:t>
      </w:r>
      <w:r>
        <w:rPr>
          <w:rFonts w:ascii="仿宋_GB2312" w:hAnsi="仿宋_GB2312" w:cs="仿宋_GB2312"/>
          <w:szCs w:val="32"/>
        </w:rPr>
        <w:t>570.52</w:t>
      </w:r>
      <w:r>
        <w:rPr>
          <w:rFonts w:ascii="仿宋_GB2312" w:hAnsi="仿宋_GB2312" w:cs="仿宋_GB2312"/>
          <w:szCs w:val="32"/>
        </w:rPr>
        <w:t>万元</w:t>
      </w:r>
      <w:r>
        <w:rPr>
          <w:rFonts w:ascii="仿宋_GB2312" w:hAnsi="仿宋_GB2312" w:cs="仿宋_GB2312" w:hint="eastAsia"/>
          <w:szCs w:val="32"/>
        </w:rPr>
        <w:t>）</w:t>
      </w:r>
      <w:r>
        <w:rPr>
          <w:rFonts w:ascii="仿宋_GB2312" w:hAnsi="仿宋_GB2312" w:cs="仿宋_GB2312"/>
          <w:szCs w:val="32"/>
        </w:rPr>
        <w:t>用于</w:t>
      </w:r>
      <w:r>
        <w:rPr>
          <w:rFonts w:ascii="仿宋_GB2312" w:hAnsi="仿宋_GB2312" w:cs="仿宋_GB2312" w:hint="eastAsia"/>
          <w:szCs w:val="32"/>
        </w:rPr>
        <w:t>改善</w:t>
      </w:r>
      <w:r>
        <w:rPr>
          <w:rFonts w:ascii="仿宋_GB2312" w:hAnsi="仿宋_GB2312" w:cs="仿宋_GB2312"/>
          <w:szCs w:val="32"/>
        </w:rPr>
        <w:t>村卫生站设施条件</w:t>
      </w:r>
      <w:r>
        <w:rPr>
          <w:rFonts w:ascii="仿宋_GB2312" w:hAnsi="仿宋_GB2312" w:cs="仿宋_GB2312" w:hint="eastAsia"/>
          <w:szCs w:val="32"/>
        </w:rPr>
        <w:t>，已完成</w:t>
      </w:r>
      <w:r>
        <w:rPr>
          <w:rFonts w:ascii="仿宋_GB2312" w:hAnsi="仿宋_GB2312" w:cs="仿宋_GB2312" w:hint="eastAsia"/>
          <w:szCs w:val="32"/>
        </w:rPr>
        <w:t>124</w:t>
      </w:r>
      <w:r>
        <w:rPr>
          <w:rFonts w:ascii="仿宋_GB2312" w:hAnsi="仿宋_GB2312" w:cs="仿宋_GB2312" w:hint="eastAsia"/>
          <w:szCs w:val="32"/>
        </w:rPr>
        <w:t>家</w:t>
      </w:r>
      <w:r>
        <w:rPr>
          <w:rFonts w:ascii="仿宋_GB2312" w:hAnsi="仿宋_GB2312" w:cs="仿宋_GB2312"/>
          <w:szCs w:val="32"/>
        </w:rPr>
        <w:t>村卫生</w:t>
      </w:r>
      <w:r>
        <w:rPr>
          <w:rFonts w:ascii="仿宋_GB2312" w:hAnsi="仿宋_GB2312" w:cs="仿宋_GB2312"/>
          <w:szCs w:val="32"/>
        </w:rPr>
        <w:t>站的规范化建设</w:t>
      </w:r>
      <w:r>
        <w:rPr>
          <w:rFonts w:ascii="仿宋_GB2312" w:hAnsi="仿宋_GB2312" w:cs="仿宋_GB2312" w:hint="eastAsia"/>
          <w:szCs w:val="32"/>
        </w:rPr>
        <w:t>；同时推进</w:t>
      </w:r>
      <w:r>
        <w:rPr>
          <w:rFonts w:ascii="仿宋_GB2312" w:hAnsi="仿宋_GB2312" w:cs="仿宋_GB2312"/>
          <w:szCs w:val="32"/>
        </w:rPr>
        <w:t>农村卫生站公建民营建设，已经完成</w:t>
      </w:r>
      <w:r>
        <w:rPr>
          <w:rFonts w:ascii="仿宋_GB2312" w:hAnsi="仿宋_GB2312" w:cs="仿宋_GB2312"/>
          <w:szCs w:val="32"/>
        </w:rPr>
        <w:t>45</w:t>
      </w:r>
      <w:r>
        <w:rPr>
          <w:rFonts w:ascii="仿宋_GB2312" w:hAnsi="仿宋_GB2312" w:cs="仿宋_GB2312"/>
          <w:szCs w:val="32"/>
        </w:rPr>
        <w:t>家</w:t>
      </w:r>
      <w:r>
        <w:rPr>
          <w:rFonts w:ascii="仿宋_GB2312" w:hAnsi="仿宋_GB2312" w:cs="仿宋_GB2312" w:hint="eastAsia"/>
          <w:szCs w:val="32"/>
        </w:rPr>
        <w:t>农村卫生站的规范化、标准化建设。</w:t>
      </w:r>
      <w:r>
        <w:rPr>
          <w:rFonts w:ascii="仿宋_GB2312" w:hAnsi="仿宋_GB2312" w:cs="仿宋_GB2312"/>
          <w:szCs w:val="32"/>
        </w:rPr>
        <w:t>加快</w:t>
      </w:r>
      <w:r>
        <w:rPr>
          <w:rFonts w:ascii="仿宋_GB2312" w:hAnsi="仿宋_GB2312" w:cs="仿宋_GB2312" w:hint="eastAsia"/>
          <w:szCs w:val="32"/>
        </w:rPr>
        <w:t>推进</w:t>
      </w:r>
      <w:r>
        <w:rPr>
          <w:rFonts w:ascii="仿宋_GB2312" w:hAnsi="仿宋_GB2312" w:cs="仿宋_GB2312"/>
          <w:szCs w:val="32"/>
        </w:rPr>
        <w:t>基层卫生院标准化建设</w:t>
      </w:r>
      <w:r>
        <w:rPr>
          <w:rFonts w:ascii="仿宋_GB2312" w:hAnsi="仿宋_GB2312" w:cs="仿宋_GB2312" w:hint="eastAsia"/>
          <w:szCs w:val="32"/>
        </w:rPr>
        <w:t>。开平市马冈镇卫生院公共卫生服务大楼建设已经完成，占地面积</w:t>
      </w:r>
      <w:r>
        <w:rPr>
          <w:rFonts w:ascii="仿宋_GB2312" w:hAnsi="仿宋_GB2312" w:cs="仿宋_GB2312" w:hint="eastAsia"/>
          <w:szCs w:val="32"/>
        </w:rPr>
        <w:t>209.45</w:t>
      </w:r>
      <w:r>
        <w:rPr>
          <w:rFonts w:ascii="仿宋_GB2312" w:hAnsi="仿宋_GB2312" w:cs="仿宋_GB2312" w:hint="eastAsia"/>
          <w:szCs w:val="32"/>
        </w:rPr>
        <w:t>平方米，建筑面积</w:t>
      </w:r>
      <w:r>
        <w:rPr>
          <w:rFonts w:ascii="仿宋_GB2312" w:hAnsi="仿宋_GB2312" w:cs="仿宋_GB2312" w:hint="eastAsia"/>
          <w:szCs w:val="32"/>
        </w:rPr>
        <w:t>1058.94</w:t>
      </w:r>
      <w:r>
        <w:rPr>
          <w:rFonts w:ascii="仿宋_GB2312" w:hAnsi="仿宋_GB2312" w:cs="仿宋_GB2312" w:hint="eastAsia"/>
          <w:szCs w:val="32"/>
        </w:rPr>
        <w:t>平方米，通过验收并投入使用。</w:t>
      </w:r>
      <w:r>
        <w:rPr>
          <w:rFonts w:ascii="仿宋_GB2312" w:hAnsi="仿宋_GB2312" w:cs="仿宋_GB2312"/>
          <w:szCs w:val="32"/>
        </w:rPr>
        <w:t>长沙社区卫生服务中心标准化工程已经完成</w:t>
      </w:r>
      <w:r>
        <w:rPr>
          <w:rFonts w:ascii="仿宋_GB2312" w:hAnsi="仿宋_GB2312" w:cs="仿宋_GB2312" w:hint="eastAsia"/>
          <w:szCs w:val="32"/>
        </w:rPr>
        <w:t>，新</w:t>
      </w:r>
      <w:proofErr w:type="gramStart"/>
      <w:r>
        <w:rPr>
          <w:rFonts w:ascii="仿宋_GB2312" w:hAnsi="仿宋_GB2312" w:cs="仿宋_GB2312" w:hint="eastAsia"/>
          <w:szCs w:val="32"/>
        </w:rPr>
        <w:t>院全面</w:t>
      </w:r>
      <w:proofErr w:type="gramEnd"/>
      <w:r>
        <w:rPr>
          <w:rFonts w:ascii="仿宋_GB2312" w:hAnsi="仿宋_GB2312" w:cs="仿宋_GB2312" w:hint="eastAsia"/>
          <w:szCs w:val="32"/>
        </w:rPr>
        <w:t>投入使用。持续推进市区内各大医院的基础工程建设。市中心医院妇产儿科住院大楼、市妇幼保健计划生育服务中心妇幼保健大楼均已完成</w:t>
      </w:r>
      <w:r>
        <w:rPr>
          <w:rFonts w:ascii="仿宋_GB2312" w:hAnsi="仿宋_GB2312" w:cs="仿宋_GB2312" w:hint="eastAsia"/>
          <w:szCs w:val="32"/>
        </w:rPr>
        <w:t>。市中心医院张襯大楼、市第二人民医院</w:t>
      </w:r>
      <w:r w:rsidR="00A30CAF">
        <w:rPr>
          <w:rFonts w:ascii="仿宋_GB2312" w:hAnsi="仿宋_GB2312" w:cs="仿宋_GB2312" w:hint="eastAsia"/>
          <w:szCs w:val="32"/>
        </w:rPr>
        <w:t>、市中医院新昌总院</w:t>
      </w:r>
      <w:bookmarkStart w:id="10" w:name="_GoBack"/>
      <w:bookmarkEnd w:id="10"/>
      <w:r>
        <w:rPr>
          <w:rFonts w:ascii="仿宋_GB2312" w:hAnsi="仿宋_GB2312" w:cs="仿宋_GB2312" w:hint="eastAsia"/>
          <w:szCs w:val="32"/>
        </w:rPr>
        <w:t>已正式开展医疗卫生服务。</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bookmarkStart w:id="11" w:name="_Toc57719803"/>
      <w:r>
        <w:rPr>
          <w:rFonts w:ascii="仿宋_GB2312" w:hAnsi="仿宋_GB2312" w:cs="仿宋_GB2312" w:hint="eastAsia"/>
          <w:b/>
          <w:bCs/>
          <w:szCs w:val="32"/>
        </w:rPr>
        <w:t>——公共卫生服务水平大力提升</w:t>
      </w:r>
      <w:bookmarkStart w:id="12" w:name="_Toc57719804"/>
      <w:bookmarkEnd w:id="11"/>
      <w:r>
        <w:rPr>
          <w:rFonts w:ascii="仿宋_GB2312" w:hAnsi="仿宋_GB2312" w:cs="仿宋_GB2312" w:hint="eastAsia"/>
          <w:b/>
          <w:bCs/>
          <w:szCs w:val="32"/>
        </w:rPr>
        <w:t>。</w:t>
      </w:r>
      <w:bookmarkEnd w:id="12"/>
      <w:r>
        <w:rPr>
          <w:rFonts w:ascii="仿宋_GB2312" w:hAnsi="仿宋_GB2312" w:cs="仿宋_GB2312" w:hint="eastAsia"/>
          <w:szCs w:val="32"/>
        </w:rPr>
        <w:t>公共卫生服务模式推陈出新。完善了结核病归口管治和慢性病综合防控示范区动态管理机制，成功申请并启动开平市第四轮省级艾滋病综合防治示范区工作。创建社会心理服务体系建设试点工作，稳步推进试点工作并得到江门市充分肯定。青少年健康管理得到加强。制定和实施中小学和托幼机构健康教育工作指南。加强学校课桌椅、照明等卫生管理。加强近视眼、龋齿、肥胖、手足口病、麻疹、红眼病等常见疾病监测和干预管理。坚持眼保健操、课间操，增加课间活动和体育课。传染病监测网络得到加强。强化哨点医院的前沿监测作用，加强</w:t>
      </w:r>
      <w:r>
        <w:rPr>
          <w:rFonts w:ascii="仿宋_GB2312" w:hAnsi="仿宋_GB2312" w:cs="仿宋_GB2312" w:hint="eastAsia"/>
          <w:szCs w:val="32"/>
        </w:rPr>
        <w:t>全市各级疾病预防控制机构、医疗机构对登革热、流感、手足口病、</w:t>
      </w:r>
      <w:proofErr w:type="gramStart"/>
      <w:r>
        <w:rPr>
          <w:rFonts w:ascii="仿宋_GB2312" w:hAnsi="仿宋_GB2312" w:cs="仿宋_GB2312" w:hint="eastAsia"/>
          <w:szCs w:val="32"/>
        </w:rPr>
        <w:t>诺如病毒</w:t>
      </w:r>
      <w:proofErr w:type="gramEnd"/>
      <w:r>
        <w:rPr>
          <w:rFonts w:ascii="仿宋_GB2312" w:hAnsi="仿宋_GB2312" w:cs="仿宋_GB2312" w:hint="eastAsia"/>
          <w:szCs w:val="32"/>
        </w:rPr>
        <w:t>感染等突发急性重点传染病和新发急性传染病</w:t>
      </w:r>
      <w:r>
        <w:rPr>
          <w:rFonts w:ascii="仿宋_GB2312" w:hAnsi="仿宋_GB2312" w:cs="仿宋_GB2312" w:hint="eastAsia"/>
          <w:szCs w:val="32"/>
        </w:rPr>
        <w:lastRenderedPageBreak/>
        <w:t>以及未知疾病监测。扩大艾滋病检测覆盖面，开平市中心医院已建立起集咨询、筛查、诊断、治疗、随访为一体的艾滋病一站式服务中心。落实将结核病检查列为新生入学、教职员工入职及年度健康体检的必查项目。落实结核病患者的归口管治。全市拥有开平市疾病预防控制中心、开平市卫生监督所、开平市结核病防治所、开平市皮肤病防治站等</w:t>
      </w:r>
      <w:r>
        <w:rPr>
          <w:rFonts w:ascii="仿宋_GB2312" w:hAnsi="仿宋_GB2312" w:cs="仿宋_GB2312" w:hint="eastAsia"/>
          <w:szCs w:val="32"/>
        </w:rPr>
        <w:t>4</w:t>
      </w:r>
      <w:r>
        <w:rPr>
          <w:rFonts w:ascii="仿宋_GB2312" w:hAnsi="仿宋_GB2312" w:cs="仿宋_GB2312" w:hint="eastAsia"/>
          <w:szCs w:val="32"/>
        </w:rPr>
        <w:t>个专业公共卫生机构。完善由市领导牵头的防控艾滋病、登革热以及精神卫生工作等重点工作联席会议制度。</w:t>
      </w:r>
      <w:r>
        <w:rPr>
          <w:rFonts w:ascii="仿宋_GB2312" w:hAnsi="仿宋_GB2312" w:cs="仿宋_GB2312" w:hint="eastAsia"/>
          <w:szCs w:val="32"/>
        </w:rPr>
        <w:t>加大投入，提升</w:t>
      </w:r>
      <w:proofErr w:type="gramStart"/>
      <w:r>
        <w:rPr>
          <w:rFonts w:ascii="仿宋_GB2312" w:hAnsi="仿宋_GB2312" w:cs="仿宋_GB2312" w:hint="eastAsia"/>
          <w:szCs w:val="32"/>
        </w:rPr>
        <w:t>疾控机构</w:t>
      </w:r>
      <w:proofErr w:type="gramEnd"/>
      <w:r>
        <w:rPr>
          <w:rFonts w:ascii="仿宋_GB2312" w:hAnsi="仿宋_GB2312" w:cs="仿宋_GB2312" w:hint="eastAsia"/>
          <w:szCs w:val="32"/>
        </w:rPr>
        <w:t>实验室检测能力，卫生装备配置标准化水平提升。成功应对</w:t>
      </w:r>
      <w:proofErr w:type="gramStart"/>
      <w:r>
        <w:rPr>
          <w:rFonts w:ascii="仿宋_GB2312" w:hAnsi="仿宋_GB2312" w:cs="仿宋_GB2312" w:hint="eastAsia"/>
          <w:szCs w:val="32"/>
        </w:rPr>
        <w:t>寨卡病毒</w:t>
      </w:r>
      <w:proofErr w:type="gramEnd"/>
      <w:r>
        <w:rPr>
          <w:rFonts w:ascii="仿宋_GB2312" w:hAnsi="仿宋_GB2312" w:cs="仿宋_GB2312" w:hint="eastAsia"/>
          <w:szCs w:val="32"/>
        </w:rPr>
        <w:t>病、人</w:t>
      </w:r>
      <w:proofErr w:type="gramStart"/>
      <w:r>
        <w:rPr>
          <w:rFonts w:ascii="仿宋_GB2312" w:hAnsi="仿宋_GB2312" w:cs="仿宋_GB2312" w:hint="eastAsia"/>
          <w:szCs w:val="32"/>
        </w:rPr>
        <w:t>感染高</w:t>
      </w:r>
      <w:proofErr w:type="gramEnd"/>
      <w:r>
        <w:rPr>
          <w:rFonts w:ascii="仿宋_GB2312" w:hAnsi="仿宋_GB2312" w:cs="仿宋_GB2312" w:hint="eastAsia"/>
          <w:szCs w:val="32"/>
        </w:rPr>
        <w:t>致病性禽流感、登革热等传染病疫情，医务人员零感染。免疫规划接种率维持在高水平，有效降低疫苗可预防传染病的发病率。新冠肺炎疫情以来，我局始终把疫情防控工作作为当前最重要的政治任务抓紧抓实，做到任务清、情况明、数据准、业务精，</w:t>
      </w:r>
      <w:proofErr w:type="gramStart"/>
      <w:r>
        <w:rPr>
          <w:rFonts w:ascii="仿宋_GB2312" w:hAnsi="仿宋_GB2312" w:cs="仿宋_GB2312" w:hint="eastAsia"/>
          <w:szCs w:val="32"/>
        </w:rPr>
        <w:t>联全市</w:t>
      </w:r>
      <w:proofErr w:type="gramEnd"/>
      <w:r>
        <w:rPr>
          <w:rFonts w:ascii="仿宋_GB2312" w:hAnsi="仿宋_GB2312" w:cs="仿宋_GB2312" w:hint="eastAsia"/>
          <w:szCs w:val="32"/>
        </w:rPr>
        <w:t>之力坚决打赢疫情防控阻击战。</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bookmarkStart w:id="13" w:name="_Toc57719807"/>
      <w:r>
        <w:rPr>
          <w:rFonts w:ascii="仿宋_GB2312" w:hAnsi="仿宋_GB2312" w:cs="仿宋_GB2312" w:hint="eastAsia"/>
          <w:b/>
          <w:bCs/>
          <w:szCs w:val="32"/>
        </w:rPr>
        <w:t>——重点人群健康服务</w:t>
      </w:r>
      <w:bookmarkEnd w:id="13"/>
      <w:r>
        <w:rPr>
          <w:rFonts w:ascii="仿宋_GB2312" w:hAnsi="仿宋_GB2312" w:cs="仿宋_GB2312" w:hint="eastAsia"/>
          <w:b/>
          <w:bCs/>
          <w:szCs w:val="32"/>
        </w:rPr>
        <w:t>扎实推进。</w:t>
      </w:r>
      <w:r>
        <w:rPr>
          <w:rFonts w:ascii="仿宋_GB2312" w:hAnsi="仿宋_GB2312" w:cs="仿宋_GB2312"/>
          <w:szCs w:val="32"/>
        </w:rPr>
        <w:t>抓好人口计生综合治理，强化人口数据核查，严格控制政策外生育，促进计划生育家庭发展。开展</w:t>
      </w:r>
      <w:r>
        <w:rPr>
          <w:rFonts w:ascii="仿宋_GB2312" w:hAnsi="仿宋_GB2312" w:cs="仿宋_GB2312"/>
          <w:szCs w:val="32"/>
        </w:rPr>
        <w:t>“</w:t>
      </w:r>
      <w:r>
        <w:rPr>
          <w:rFonts w:ascii="仿宋_GB2312" w:hAnsi="仿宋_GB2312" w:cs="仿宋_GB2312"/>
          <w:szCs w:val="32"/>
        </w:rPr>
        <w:t>关爱女孩行动</w:t>
      </w:r>
      <w:r>
        <w:rPr>
          <w:rFonts w:ascii="仿宋_GB2312" w:hAnsi="仿宋_GB2312" w:cs="仿宋_GB2312"/>
          <w:szCs w:val="32"/>
        </w:rPr>
        <w:t>”</w:t>
      </w:r>
      <w:r>
        <w:rPr>
          <w:rFonts w:ascii="仿宋_GB2312" w:hAnsi="仿宋_GB2312" w:cs="仿宋_GB2312"/>
          <w:szCs w:val="32"/>
        </w:rPr>
        <w:t>，依法查处</w:t>
      </w:r>
      <w:r>
        <w:rPr>
          <w:rFonts w:ascii="仿宋_GB2312" w:hAnsi="仿宋_GB2312" w:cs="仿宋_GB2312"/>
          <w:szCs w:val="32"/>
        </w:rPr>
        <w:t>“</w:t>
      </w:r>
      <w:r>
        <w:rPr>
          <w:rFonts w:ascii="仿宋_GB2312" w:hAnsi="仿宋_GB2312" w:cs="仿宋_GB2312"/>
          <w:szCs w:val="32"/>
        </w:rPr>
        <w:t>两非</w:t>
      </w:r>
      <w:r>
        <w:rPr>
          <w:rFonts w:ascii="仿宋_GB2312" w:hAnsi="仿宋_GB2312" w:cs="仿宋_GB2312"/>
          <w:szCs w:val="32"/>
        </w:rPr>
        <w:t>”</w:t>
      </w:r>
      <w:r>
        <w:rPr>
          <w:rFonts w:ascii="仿宋_GB2312" w:hAnsi="仿宋_GB2312" w:cs="仿宋_GB2312"/>
          <w:szCs w:val="32"/>
        </w:rPr>
        <w:t>案件，我市综合治理出生</w:t>
      </w:r>
      <w:r>
        <w:rPr>
          <w:rFonts w:ascii="仿宋_GB2312" w:hAnsi="仿宋_GB2312" w:cs="仿宋_GB2312" w:hint="eastAsia"/>
          <w:szCs w:val="32"/>
        </w:rPr>
        <w:t>人口性别比为</w:t>
      </w:r>
      <w:r>
        <w:rPr>
          <w:rFonts w:ascii="仿宋_GB2312" w:hAnsi="仿宋_GB2312" w:cs="仿宋_GB2312" w:hint="eastAsia"/>
          <w:szCs w:val="32"/>
        </w:rPr>
        <w:t>106.29</w:t>
      </w:r>
      <w:r>
        <w:rPr>
          <w:rFonts w:ascii="仿宋_GB2312" w:hAnsi="仿宋_GB2312" w:cs="仿宋_GB2312"/>
          <w:szCs w:val="32"/>
        </w:rPr>
        <w:t>，促进人口长期均衡发展。落实育龄人群免费享有避孕节育和孕前优生健康检查服务。完善各种管理制度，实行计生管理重心下移，做好计生协会工作，提升计生工作质量。全面兑现</w:t>
      </w:r>
      <w:proofErr w:type="gramStart"/>
      <w:r>
        <w:rPr>
          <w:rFonts w:ascii="仿宋_GB2312" w:hAnsi="仿宋_GB2312" w:cs="仿宋_GB2312"/>
          <w:szCs w:val="32"/>
        </w:rPr>
        <w:t>计划生育奖扶政策</w:t>
      </w:r>
      <w:proofErr w:type="gramEnd"/>
      <w:r>
        <w:rPr>
          <w:rFonts w:ascii="仿宋_GB2312" w:hAnsi="仿宋_GB2312" w:cs="仿宋_GB2312" w:hint="eastAsia"/>
          <w:szCs w:val="32"/>
        </w:rPr>
        <w:t>，</w:t>
      </w:r>
      <w:r>
        <w:rPr>
          <w:rFonts w:ascii="仿宋_GB2312" w:hAnsi="仿宋_GB2312" w:cs="仿宋_GB2312"/>
          <w:szCs w:val="32"/>
        </w:rPr>
        <w:t>全市安排各类计生奖励帮扶资金</w:t>
      </w:r>
      <w:r>
        <w:rPr>
          <w:rFonts w:ascii="仿宋_GB2312" w:hAnsi="仿宋_GB2312" w:cs="仿宋_GB2312"/>
          <w:szCs w:val="32"/>
        </w:rPr>
        <w:t>10864.28</w:t>
      </w:r>
      <w:r>
        <w:rPr>
          <w:rFonts w:ascii="仿宋_GB2312" w:hAnsi="仿宋_GB2312" w:cs="仿宋_GB2312"/>
          <w:szCs w:val="32"/>
        </w:rPr>
        <w:t>万元，共奖励对象</w:t>
      </w:r>
      <w:r>
        <w:rPr>
          <w:rFonts w:ascii="仿宋_GB2312" w:hAnsi="仿宋_GB2312" w:cs="仿宋_GB2312"/>
          <w:szCs w:val="32"/>
        </w:rPr>
        <w:t>91811</w:t>
      </w:r>
      <w:r>
        <w:rPr>
          <w:rFonts w:ascii="仿宋_GB2312" w:hAnsi="仿宋_GB2312" w:cs="仿宋_GB2312"/>
          <w:szCs w:val="32"/>
        </w:rPr>
        <w:t>人。从</w:t>
      </w:r>
      <w:r>
        <w:rPr>
          <w:rFonts w:ascii="仿宋_GB2312" w:hAnsi="仿宋_GB2312" w:cs="仿宋_GB2312"/>
          <w:szCs w:val="32"/>
        </w:rPr>
        <w:t>2012</w:t>
      </w:r>
      <w:r>
        <w:rPr>
          <w:rFonts w:ascii="仿宋_GB2312" w:hAnsi="仿宋_GB2312" w:cs="仿宋_GB2312"/>
          <w:szCs w:val="32"/>
        </w:rPr>
        <w:t>年至</w:t>
      </w:r>
      <w:r>
        <w:rPr>
          <w:rFonts w:ascii="仿宋_GB2312" w:hAnsi="仿宋_GB2312" w:cs="仿宋_GB2312"/>
          <w:szCs w:val="32"/>
        </w:rPr>
        <w:t>2017</w:t>
      </w:r>
      <w:r>
        <w:rPr>
          <w:rFonts w:ascii="仿宋_GB2312" w:hAnsi="仿宋_GB2312" w:cs="仿宋_GB2312"/>
          <w:szCs w:val="32"/>
        </w:rPr>
        <w:t>年度，连续六年获</w:t>
      </w:r>
      <w:r>
        <w:rPr>
          <w:rFonts w:ascii="仿宋_GB2312" w:hAnsi="仿宋_GB2312" w:cs="仿宋_GB2312"/>
          <w:szCs w:val="32"/>
        </w:rPr>
        <w:lastRenderedPageBreak/>
        <w:t>评</w:t>
      </w:r>
      <w:r>
        <w:rPr>
          <w:rFonts w:ascii="仿宋_GB2312" w:hAnsi="仿宋_GB2312" w:cs="仿宋_GB2312"/>
          <w:szCs w:val="32"/>
        </w:rPr>
        <w:t>“</w:t>
      </w:r>
      <w:r>
        <w:rPr>
          <w:rFonts w:ascii="仿宋_GB2312" w:hAnsi="仿宋_GB2312" w:cs="仿宋_GB2312"/>
          <w:szCs w:val="32"/>
        </w:rPr>
        <w:t>省人口与计划生育工作先进单位</w:t>
      </w:r>
      <w:r>
        <w:rPr>
          <w:rFonts w:ascii="仿宋_GB2312" w:hAnsi="仿宋_GB2312" w:cs="仿宋_GB2312"/>
          <w:szCs w:val="32"/>
        </w:rPr>
        <w:t>”</w:t>
      </w:r>
      <w:r>
        <w:rPr>
          <w:rFonts w:ascii="仿宋_GB2312" w:hAnsi="仿宋_GB2312" w:cs="仿宋_GB2312"/>
          <w:szCs w:val="32"/>
        </w:rPr>
        <w:t>，并受到省政府的通报表</w:t>
      </w:r>
      <w:r>
        <w:rPr>
          <w:rFonts w:ascii="仿宋_GB2312" w:hAnsi="仿宋_GB2312" w:cs="仿宋_GB2312"/>
          <w:szCs w:val="32"/>
        </w:rPr>
        <w:t>彰奖励</w:t>
      </w:r>
      <w:r>
        <w:rPr>
          <w:rFonts w:ascii="仿宋_GB2312" w:hAnsi="仿宋_GB2312" w:cs="仿宋_GB2312" w:hint="eastAsia"/>
          <w:szCs w:val="32"/>
        </w:rPr>
        <w:t>。</w:t>
      </w:r>
      <w:r>
        <w:rPr>
          <w:rFonts w:ascii="仿宋_GB2312" w:hAnsi="仿宋_GB2312" w:cs="仿宋_GB2312"/>
          <w:szCs w:val="32"/>
        </w:rPr>
        <w:t>强化卫生行政部门依法行政意识，加强</w:t>
      </w:r>
      <w:proofErr w:type="gramStart"/>
      <w:r>
        <w:rPr>
          <w:rFonts w:ascii="仿宋_GB2312" w:hAnsi="仿宋_GB2312" w:cs="仿宋_GB2312"/>
          <w:szCs w:val="32"/>
        </w:rPr>
        <w:t>谁执法谁</w:t>
      </w:r>
      <w:proofErr w:type="gramEnd"/>
      <w:r>
        <w:rPr>
          <w:rFonts w:ascii="仿宋_GB2312" w:hAnsi="仿宋_GB2312" w:cs="仿宋_GB2312"/>
          <w:szCs w:val="32"/>
        </w:rPr>
        <w:t>普法工作，规范和优化行政审批运行程序，大力整顿和规范医疗服务市场，提高综合执法能力。</w:t>
      </w:r>
      <w:r>
        <w:rPr>
          <w:rFonts w:ascii="仿宋_GB2312" w:hAnsi="仿宋_GB2312" w:cs="仿宋_GB2312"/>
          <w:szCs w:val="32"/>
        </w:rPr>
        <w:t>5</w:t>
      </w:r>
      <w:r>
        <w:rPr>
          <w:rFonts w:ascii="仿宋_GB2312" w:hAnsi="仿宋_GB2312" w:cs="仿宋_GB2312"/>
          <w:szCs w:val="32"/>
        </w:rPr>
        <w:t>年以来</w:t>
      </w:r>
      <w:r>
        <w:rPr>
          <w:rFonts w:ascii="仿宋_GB2312" w:hAnsi="仿宋_GB2312" w:cs="仿宋_GB2312" w:hint="eastAsia"/>
          <w:szCs w:val="32"/>
        </w:rPr>
        <w:t>，</w:t>
      </w:r>
      <w:r>
        <w:rPr>
          <w:rFonts w:ascii="仿宋_GB2312" w:hAnsi="仿宋_GB2312" w:cs="仿宋_GB2312"/>
          <w:szCs w:val="32"/>
        </w:rPr>
        <w:t>办理卫生许可证新办、延续、变更、注销等审批事项</w:t>
      </w:r>
      <w:r>
        <w:rPr>
          <w:rFonts w:ascii="仿宋_GB2312" w:hAnsi="仿宋_GB2312" w:cs="仿宋_GB2312"/>
          <w:szCs w:val="32"/>
        </w:rPr>
        <w:t>3744</w:t>
      </w:r>
      <w:r>
        <w:rPr>
          <w:rFonts w:ascii="仿宋_GB2312" w:hAnsi="仿宋_GB2312" w:cs="仿宋_GB2312"/>
          <w:szCs w:val="32"/>
        </w:rPr>
        <w:t>宗；进一步简化优化行政审批事项办理环节，全面推行公共场所卫生许可告知承诺制，平均压缩办理时间</w:t>
      </w:r>
      <w:r>
        <w:rPr>
          <w:rFonts w:ascii="仿宋_GB2312" w:hAnsi="仿宋_GB2312" w:cs="仿宋_GB2312"/>
          <w:szCs w:val="32"/>
        </w:rPr>
        <w:t>50%</w:t>
      </w:r>
      <w:r>
        <w:rPr>
          <w:rFonts w:ascii="仿宋_GB2312" w:hAnsi="仿宋_GB2312" w:cs="仿宋_GB2312"/>
          <w:szCs w:val="32"/>
        </w:rPr>
        <w:t>以上；共接受群众业务咨询</w:t>
      </w:r>
      <w:r>
        <w:rPr>
          <w:rFonts w:ascii="仿宋_GB2312" w:hAnsi="仿宋_GB2312" w:cs="仿宋_GB2312"/>
          <w:szCs w:val="32"/>
        </w:rPr>
        <w:t>5413</w:t>
      </w:r>
      <w:r>
        <w:rPr>
          <w:rFonts w:ascii="仿宋_GB2312" w:hAnsi="仿宋_GB2312" w:cs="仿宋_GB2312"/>
          <w:szCs w:val="32"/>
        </w:rPr>
        <w:t>人次，共受理业务</w:t>
      </w:r>
      <w:r>
        <w:rPr>
          <w:rFonts w:ascii="仿宋_GB2312" w:hAnsi="仿宋_GB2312" w:cs="仿宋_GB2312"/>
          <w:szCs w:val="32"/>
        </w:rPr>
        <w:t>4955</w:t>
      </w:r>
      <w:r>
        <w:rPr>
          <w:rFonts w:ascii="仿宋_GB2312" w:hAnsi="仿宋_GB2312" w:cs="仿宋_GB2312"/>
          <w:szCs w:val="32"/>
        </w:rPr>
        <w:t>宗，其中公共场所卫生</w:t>
      </w:r>
      <w:r>
        <w:rPr>
          <w:rFonts w:ascii="仿宋_GB2312" w:hAnsi="仿宋_GB2312" w:cs="仿宋_GB2312"/>
          <w:szCs w:val="32"/>
        </w:rPr>
        <w:t>2293</w:t>
      </w:r>
      <w:r>
        <w:rPr>
          <w:rFonts w:ascii="仿宋_GB2312" w:hAnsi="仿宋_GB2312" w:cs="仿宋_GB2312"/>
          <w:szCs w:val="32"/>
        </w:rPr>
        <w:t>宗，生活饮用水卫生</w:t>
      </w:r>
      <w:r>
        <w:rPr>
          <w:rFonts w:ascii="仿宋_GB2312" w:hAnsi="仿宋_GB2312" w:cs="仿宋_GB2312"/>
          <w:szCs w:val="32"/>
        </w:rPr>
        <w:t>35</w:t>
      </w:r>
      <w:r>
        <w:rPr>
          <w:rFonts w:ascii="仿宋_GB2312" w:hAnsi="仿宋_GB2312" w:cs="仿宋_GB2312"/>
          <w:szCs w:val="32"/>
        </w:rPr>
        <w:t>宗，医疗卫生</w:t>
      </w:r>
      <w:r>
        <w:rPr>
          <w:rFonts w:ascii="仿宋_GB2312" w:hAnsi="仿宋_GB2312" w:cs="仿宋_GB2312"/>
          <w:szCs w:val="32"/>
        </w:rPr>
        <w:t>2321</w:t>
      </w:r>
      <w:r>
        <w:rPr>
          <w:rFonts w:ascii="仿宋_GB2312" w:hAnsi="仿宋_GB2312" w:cs="仿宋_GB2312"/>
          <w:szCs w:val="32"/>
        </w:rPr>
        <w:t>宗，放射卫生</w:t>
      </w:r>
      <w:r>
        <w:rPr>
          <w:rFonts w:ascii="仿宋_GB2312" w:hAnsi="仿宋_GB2312" w:cs="仿宋_GB2312"/>
          <w:szCs w:val="32"/>
        </w:rPr>
        <w:t>100</w:t>
      </w:r>
      <w:r>
        <w:rPr>
          <w:rFonts w:ascii="仿宋_GB2312" w:hAnsi="仿宋_GB2312" w:cs="仿宋_GB2312"/>
          <w:szCs w:val="32"/>
        </w:rPr>
        <w:t>宗，办结率</w:t>
      </w:r>
      <w:r>
        <w:rPr>
          <w:rFonts w:ascii="仿宋_GB2312" w:hAnsi="仿宋_GB2312" w:cs="仿宋_GB2312"/>
          <w:szCs w:val="32"/>
        </w:rPr>
        <w:t>100%</w:t>
      </w:r>
      <w:r>
        <w:rPr>
          <w:rFonts w:ascii="仿宋_GB2312" w:hAnsi="仿宋_GB2312" w:cs="仿宋_GB2312"/>
          <w:szCs w:val="32"/>
        </w:rPr>
        <w:t>。</w:t>
      </w:r>
      <w:bookmarkStart w:id="14" w:name="_Toc57719809"/>
      <w:r>
        <w:rPr>
          <w:rFonts w:ascii="仿宋_GB2312" w:hAnsi="仿宋_GB2312" w:cs="仿宋_GB2312" w:hint="eastAsia"/>
          <w:szCs w:val="32"/>
        </w:rPr>
        <w:t>提升妇幼健康服务能力</w:t>
      </w:r>
      <w:bookmarkEnd w:id="14"/>
      <w:r>
        <w:rPr>
          <w:rFonts w:ascii="仿宋_GB2312" w:hAnsi="仿宋_GB2312" w:cs="仿宋_GB2312" w:hint="eastAsia"/>
          <w:szCs w:val="32"/>
        </w:rPr>
        <w:t>。顺利推进全国社会心理服务体系建</w:t>
      </w:r>
      <w:r>
        <w:rPr>
          <w:rFonts w:ascii="仿宋_GB2312" w:hAnsi="仿宋_GB2312" w:cs="仿宋_GB2312" w:hint="eastAsia"/>
          <w:szCs w:val="32"/>
        </w:rPr>
        <w:t>设、“三病”母婴阻断、“两癌”筛查、地贫监测等工作。加强妊娠风险评估与管理，健全全市</w:t>
      </w:r>
      <w:proofErr w:type="gramStart"/>
      <w:r>
        <w:rPr>
          <w:rFonts w:ascii="仿宋_GB2312" w:hAnsi="仿宋_GB2312" w:cs="仿宋_GB2312" w:hint="eastAsia"/>
          <w:szCs w:val="32"/>
        </w:rPr>
        <w:t>孕</w:t>
      </w:r>
      <w:proofErr w:type="gramEnd"/>
      <w:r>
        <w:rPr>
          <w:rFonts w:ascii="仿宋_GB2312" w:hAnsi="仿宋_GB2312" w:cs="仿宋_GB2312" w:hint="eastAsia"/>
          <w:szCs w:val="32"/>
        </w:rPr>
        <w:t>产妇、新生儿危急重症救治网络，有效保障母婴安全。稳步实施妇幼重大公共卫生项目，全面实施孕前优生健康检查、农村妇女增补叶酸、“三病”母婴阻断、地中海贫血防控，完成妇女“两癌”筛查年度任务数。</w:t>
      </w:r>
      <w:r>
        <w:rPr>
          <w:rFonts w:ascii="仿宋_GB2312" w:hAnsi="仿宋_GB2312" w:cs="仿宋_GB2312"/>
          <w:szCs w:val="32"/>
        </w:rPr>
        <w:t>20</w:t>
      </w:r>
      <w:r>
        <w:rPr>
          <w:rFonts w:ascii="仿宋_GB2312" w:hAnsi="仿宋_GB2312" w:cs="仿宋_GB2312" w:hint="eastAsia"/>
          <w:szCs w:val="32"/>
        </w:rPr>
        <w:t>20</w:t>
      </w:r>
      <w:r>
        <w:rPr>
          <w:rFonts w:ascii="仿宋_GB2312" w:hAnsi="仿宋_GB2312" w:cs="仿宋_GB2312"/>
          <w:szCs w:val="32"/>
        </w:rPr>
        <w:t>年全市</w:t>
      </w:r>
      <w:proofErr w:type="gramStart"/>
      <w:r>
        <w:rPr>
          <w:rFonts w:ascii="仿宋_GB2312" w:hAnsi="仿宋_GB2312" w:cs="仿宋_GB2312"/>
          <w:szCs w:val="32"/>
        </w:rPr>
        <w:t>孕</w:t>
      </w:r>
      <w:proofErr w:type="gramEnd"/>
      <w:r>
        <w:rPr>
          <w:rFonts w:ascii="仿宋_GB2312" w:hAnsi="仿宋_GB2312" w:cs="仿宋_GB2312"/>
          <w:szCs w:val="32"/>
        </w:rPr>
        <w:t>产妇死亡</w:t>
      </w:r>
      <w:r>
        <w:rPr>
          <w:rFonts w:ascii="仿宋_GB2312" w:hAnsi="仿宋_GB2312" w:cs="仿宋_GB2312" w:hint="eastAsia"/>
          <w:szCs w:val="32"/>
        </w:rPr>
        <w:t>率</w:t>
      </w:r>
      <w:r>
        <w:rPr>
          <w:rFonts w:ascii="仿宋_GB2312" w:hAnsi="仿宋_GB2312" w:cs="仿宋_GB2312" w:hint="eastAsia"/>
          <w:szCs w:val="32"/>
        </w:rPr>
        <w:t>18.7</w:t>
      </w:r>
      <w:r>
        <w:rPr>
          <w:rFonts w:ascii="仿宋_GB2312" w:hAnsi="仿宋_GB2312" w:cs="仿宋_GB2312"/>
          <w:szCs w:val="32"/>
        </w:rPr>
        <w:t>1/10</w:t>
      </w:r>
      <w:r>
        <w:rPr>
          <w:rFonts w:ascii="仿宋_GB2312" w:hAnsi="仿宋_GB2312" w:cs="仿宋_GB2312"/>
          <w:szCs w:val="32"/>
        </w:rPr>
        <w:t>万，婴儿死亡率为</w:t>
      </w:r>
      <w:r>
        <w:rPr>
          <w:rFonts w:ascii="仿宋_GB2312" w:hAnsi="仿宋_GB2312" w:cs="仿宋_GB2312" w:hint="eastAsia"/>
          <w:szCs w:val="32"/>
        </w:rPr>
        <w:t>1.5</w:t>
      </w:r>
      <w:r>
        <w:rPr>
          <w:rFonts w:ascii="仿宋_GB2312" w:hAnsi="仿宋_GB2312" w:cs="仿宋_GB2312"/>
          <w:szCs w:val="32"/>
        </w:rPr>
        <w:t>‰</w:t>
      </w:r>
      <w:r>
        <w:rPr>
          <w:rFonts w:ascii="仿宋_GB2312" w:hAnsi="仿宋_GB2312" w:cs="仿宋_GB2312" w:hint="eastAsia"/>
          <w:szCs w:val="32"/>
        </w:rPr>
        <w:t>。</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bookmarkStart w:id="15" w:name="_Toc57719810"/>
      <w:r>
        <w:rPr>
          <w:rFonts w:ascii="仿宋_GB2312" w:hAnsi="仿宋_GB2312" w:cs="仿宋_GB2312" w:hint="eastAsia"/>
          <w:b/>
          <w:bCs/>
          <w:szCs w:val="32"/>
        </w:rPr>
        <w:t>——人才队伍</w:t>
      </w:r>
      <w:bookmarkEnd w:id="15"/>
      <w:r>
        <w:rPr>
          <w:rFonts w:ascii="仿宋_GB2312" w:hAnsi="仿宋_GB2312" w:cs="仿宋_GB2312" w:hint="eastAsia"/>
          <w:b/>
          <w:bCs/>
          <w:szCs w:val="32"/>
        </w:rPr>
        <w:t>不断夯实。</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月，我市出台《开平市订单定向培养卫生人才实施方案》，实施订单定向培养医学生计划，参加全国普通高等学校招生统一考试，报考医学类专业，被成</w:t>
      </w:r>
      <w:r>
        <w:rPr>
          <w:rFonts w:ascii="仿宋_GB2312" w:hAnsi="仿宋_GB2312" w:cs="仿宋_GB2312" w:hint="eastAsia"/>
          <w:szCs w:val="32"/>
        </w:rPr>
        <w:t>功录取为本科（含本科、</w:t>
      </w:r>
      <w:proofErr w:type="gramStart"/>
      <w:r>
        <w:rPr>
          <w:rFonts w:ascii="仿宋_GB2312" w:hAnsi="仿宋_GB2312" w:cs="仿宋_GB2312" w:hint="eastAsia"/>
          <w:szCs w:val="32"/>
        </w:rPr>
        <w:t>本硕连读</w:t>
      </w:r>
      <w:proofErr w:type="gramEnd"/>
      <w:r>
        <w:rPr>
          <w:rFonts w:ascii="仿宋_GB2312" w:hAnsi="仿宋_GB2312" w:cs="仿宋_GB2312" w:hint="eastAsia"/>
          <w:szCs w:val="32"/>
        </w:rPr>
        <w:t>、</w:t>
      </w:r>
      <w:proofErr w:type="gramStart"/>
      <w:r>
        <w:rPr>
          <w:rFonts w:ascii="仿宋_GB2312" w:hAnsi="仿宋_GB2312" w:cs="仿宋_GB2312" w:hint="eastAsia"/>
          <w:szCs w:val="32"/>
        </w:rPr>
        <w:t>本硕博</w:t>
      </w:r>
      <w:proofErr w:type="gramEnd"/>
      <w:r>
        <w:rPr>
          <w:rFonts w:ascii="仿宋_GB2312" w:hAnsi="仿宋_GB2312" w:cs="仿宋_GB2312" w:hint="eastAsia"/>
          <w:szCs w:val="32"/>
        </w:rPr>
        <w:t>连读），且志愿在开平市从事医疗卫生工作的开平籍考生，在校学习期间按每人每年一次性补助生活费</w:t>
      </w:r>
      <w:r>
        <w:rPr>
          <w:rFonts w:ascii="仿宋_GB2312" w:hAnsi="仿宋_GB2312" w:cs="仿宋_GB2312" w:hint="eastAsia"/>
          <w:szCs w:val="32"/>
        </w:rPr>
        <w:t>2</w:t>
      </w:r>
      <w:r>
        <w:rPr>
          <w:rFonts w:ascii="仿宋_GB2312" w:hAnsi="仿宋_GB2312" w:cs="仿宋_GB2312" w:hint="eastAsia"/>
          <w:szCs w:val="32"/>
        </w:rPr>
        <w:t>万元，定向医学生签订“定向就业协议书”，承诺毕业后到开平市有关医疗</w:t>
      </w:r>
      <w:r>
        <w:rPr>
          <w:rFonts w:ascii="仿宋_GB2312" w:hAnsi="仿宋_GB2312" w:cs="仿宋_GB2312" w:hint="eastAsia"/>
          <w:szCs w:val="32"/>
        </w:rPr>
        <w:lastRenderedPageBreak/>
        <w:t>卫生机构服务</w:t>
      </w:r>
      <w:r>
        <w:rPr>
          <w:rFonts w:ascii="仿宋_GB2312" w:hAnsi="仿宋_GB2312" w:cs="仿宋_GB2312" w:hint="eastAsia"/>
          <w:szCs w:val="32"/>
        </w:rPr>
        <w:t>6</w:t>
      </w:r>
      <w:r>
        <w:rPr>
          <w:rFonts w:ascii="仿宋_GB2312" w:hAnsi="仿宋_GB2312" w:cs="仿宋_GB2312" w:hint="eastAsia"/>
          <w:szCs w:val="32"/>
        </w:rPr>
        <w:t>年以上，为我市医疗卫生机构培养一批高素质医学人才。</w:t>
      </w:r>
      <w:r>
        <w:rPr>
          <w:rFonts w:ascii="仿宋_GB2312" w:hAnsi="仿宋_GB2312" w:cs="仿宋_GB2312" w:hint="eastAsia"/>
          <w:szCs w:val="32"/>
        </w:rPr>
        <w:t>2</w:t>
      </w:r>
      <w:r>
        <w:rPr>
          <w:rFonts w:ascii="仿宋_GB2312" w:hAnsi="仿宋_GB2312" w:cs="仿宋_GB2312"/>
          <w:szCs w:val="32"/>
        </w:rPr>
        <w:t>019</w:t>
      </w:r>
      <w:r>
        <w:rPr>
          <w:rFonts w:ascii="仿宋_GB2312" w:hAnsi="仿宋_GB2312" w:cs="仿宋_GB2312" w:hint="eastAsia"/>
          <w:szCs w:val="32"/>
        </w:rPr>
        <w:t>年成功签约医学生</w:t>
      </w:r>
      <w:r>
        <w:rPr>
          <w:rFonts w:ascii="仿宋_GB2312" w:hAnsi="仿宋_GB2312" w:cs="仿宋_GB2312" w:hint="eastAsia"/>
          <w:szCs w:val="32"/>
        </w:rPr>
        <w:t>37</w:t>
      </w:r>
      <w:r>
        <w:rPr>
          <w:rFonts w:ascii="仿宋_GB2312" w:hAnsi="仿宋_GB2312" w:cs="仿宋_GB2312" w:hint="eastAsia"/>
          <w:szCs w:val="32"/>
        </w:rPr>
        <w:t>名，</w:t>
      </w:r>
      <w:r>
        <w:rPr>
          <w:rFonts w:ascii="仿宋_GB2312" w:hAnsi="仿宋_GB2312" w:cs="仿宋_GB2312" w:hint="eastAsia"/>
          <w:szCs w:val="32"/>
        </w:rPr>
        <w:t>2</w:t>
      </w:r>
      <w:r>
        <w:rPr>
          <w:rFonts w:ascii="仿宋_GB2312" w:hAnsi="仿宋_GB2312" w:cs="仿宋_GB2312"/>
          <w:szCs w:val="32"/>
        </w:rPr>
        <w:t>020</w:t>
      </w:r>
      <w:r>
        <w:rPr>
          <w:rFonts w:ascii="仿宋_GB2312" w:hAnsi="仿宋_GB2312" w:cs="仿宋_GB2312" w:hint="eastAsia"/>
          <w:szCs w:val="32"/>
        </w:rPr>
        <w:t>年成功签约医学生</w:t>
      </w:r>
      <w:r>
        <w:rPr>
          <w:rFonts w:ascii="仿宋_GB2312" w:hAnsi="仿宋_GB2312" w:cs="仿宋_GB2312" w:hint="eastAsia"/>
          <w:szCs w:val="32"/>
        </w:rPr>
        <w:t>3</w:t>
      </w:r>
      <w:r>
        <w:rPr>
          <w:rFonts w:ascii="仿宋_GB2312" w:hAnsi="仿宋_GB2312" w:cs="仿宋_GB2312"/>
          <w:szCs w:val="32"/>
        </w:rPr>
        <w:t>5</w:t>
      </w:r>
      <w:r>
        <w:rPr>
          <w:rFonts w:ascii="仿宋_GB2312" w:hAnsi="仿宋_GB2312" w:cs="仿宋_GB2312" w:hint="eastAsia"/>
          <w:szCs w:val="32"/>
        </w:rPr>
        <w:t>名。</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r>
        <w:rPr>
          <w:rFonts w:ascii="仿宋_GB2312" w:hAnsi="仿宋_GB2312" w:cs="仿宋_GB2312" w:hint="eastAsia"/>
          <w:b/>
          <w:bCs/>
          <w:szCs w:val="32"/>
        </w:rPr>
        <w:t>——中医药服务能力持续提升。</w:t>
      </w:r>
      <w:r>
        <w:rPr>
          <w:rFonts w:ascii="仿宋_GB2312" w:hAnsi="仿宋_GB2312" w:cs="仿宋_GB2312" w:hint="eastAsia"/>
          <w:szCs w:val="32"/>
        </w:rPr>
        <w:t>市中医院</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月已完成一二期迁建工作。搬迁后医院整体服务能力得到明显的提升，更好地满足群众多样化的中医药服务需求。开平市中医院积极创建市中医重点、</w:t>
      </w:r>
      <w:proofErr w:type="gramStart"/>
      <w:r>
        <w:rPr>
          <w:rFonts w:ascii="仿宋_GB2312" w:hAnsi="仿宋_GB2312" w:cs="仿宋_GB2312" w:hint="eastAsia"/>
          <w:szCs w:val="32"/>
        </w:rPr>
        <w:t>省特</w:t>
      </w:r>
      <w:r>
        <w:rPr>
          <w:rFonts w:ascii="仿宋_GB2312" w:hAnsi="仿宋_GB2312" w:cs="仿宋_GB2312" w:hint="eastAsia"/>
          <w:szCs w:val="32"/>
        </w:rPr>
        <w:t>色</w:t>
      </w:r>
      <w:proofErr w:type="gramEnd"/>
      <w:r>
        <w:rPr>
          <w:rFonts w:ascii="仿宋_GB2312" w:hAnsi="仿宋_GB2312" w:cs="仿宋_GB2312" w:hint="eastAsia"/>
          <w:szCs w:val="32"/>
        </w:rPr>
        <w:t>专科，骨伤科、肛肠科、康复科已申报江门市第二批中医重点专科，并开展名医工作室，进行名师带徒活动，以继承名中医学术经验。按照省、市的工作要求，全市</w:t>
      </w:r>
      <w:r>
        <w:rPr>
          <w:rFonts w:ascii="仿宋_GB2312" w:hAnsi="仿宋_GB2312" w:cs="仿宋_GB2312" w:hint="eastAsia"/>
          <w:szCs w:val="32"/>
        </w:rPr>
        <w:t>14</w:t>
      </w:r>
      <w:r>
        <w:rPr>
          <w:rFonts w:ascii="仿宋_GB2312" w:hAnsi="仿宋_GB2312" w:cs="仿宋_GB2312" w:hint="eastAsia"/>
          <w:szCs w:val="32"/>
        </w:rPr>
        <w:t>家基层医疗卫生机构已经完成了中医馆的改造升级，综合使用多种中医药适宜技术技艺服务城乡居民，提升了基层中医药服务能力，助力</w:t>
      </w:r>
      <w:proofErr w:type="gramStart"/>
      <w:r>
        <w:rPr>
          <w:rFonts w:ascii="仿宋_GB2312" w:hAnsi="仿宋_GB2312" w:cs="仿宋_GB2312" w:hint="eastAsia"/>
          <w:szCs w:val="32"/>
        </w:rPr>
        <w:t>医</w:t>
      </w:r>
      <w:proofErr w:type="gramEnd"/>
      <w:r>
        <w:rPr>
          <w:rFonts w:ascii="仿宋_GB2312" w:hAnsi="仿宋_GB2312" w:cs="仿宋_GB2312" w:hint="eastAsia"/>
          <w:szCs w:val="32"/>
        </w:rPr>
        <w:t>改惠民成效。自</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月，开平市中医院和马冈镇卫生院</w:t>
      </w:r>
      <w:proofErr w:type="gramStart"/>
      <w:r>
        <w:rPr>
          <w:rFonts w:ascii="仿宋_GB2312" w:hAnsi="仿宋_GB2312" w:cs="仿宋_GB2312" w:hint="eastAsia"/>
          <w:szCs w:val="32"/>
        </w:rPr>
        <w:t>医</w:t>
      </w:r>
      <w:proofErr w:type="gramEnd"/>
      <w:r>
        <w:rPr>
          <w:rFonts w:ascii="仿宋_GB2312" w:hAnsi="仿宋_GB2312" w:cs="仿宋_GB2312" w:hint="eastAsia"/>
          <w:szCs w:val="32"/>
        </w:rPr>
        <w:t>联体成立后，凭借</w:t>
      </w:r>
      <w:proofErr w:type="gramStart"/>
      <w:r>
        <w:rPr>
          <w:rFonts w:ascii="仿宋_GB2312" w:hAnsi="仿宋_GB2312" w:cs="仿宋_GB2312" w:hint="eastAsia"/>
          <w:szCs w:val="32"/>
        </w:rPr>
        <w:t>医</w:t>
      </w:r>
      <w:proofErr w:type="gramEnd"/>
      <w:r>
        <w:rPr>
          <w:rFonts w:ascii="仿宋_GB2312" w:hAnsi="仿宋_GB2312" w:cs="仿宋_GB2312" w:hint="eastAsia"/>
          <w:szCs w:val="32"/>
        </w:rPr>
        <w:t>联体的政策优势进行对口帮扶，现已指导马冈镇卫生院组建了中医门诊，并培养了一批中医药技术团队，为中医药深入基层打下基础。同时，加强村卫生站中医诊疗设备配备以及中医药人</w:t>
      </w:r>
      <w:r>
        <w:rPr>
          <w:rFonts w:ascii="仿宋_GB2312" w:hAnsi="仿宋_GB2312" w:cs="仿宋_GB2312" w:hint="eastAsia"/>
          <w:szCs w:val="32"/>
        </w:rPr>
        <w:t>员培训，进一步提高我市中医药服务的覆盖率和可及性。开展中医人才培养计划，目前共为基层定向培养中医专业学生</w:t>
      </w:r>
      <w:r>
        <w:rPr>
          <w:rFonts w:ascii="仿宋_GB2312" w:hAnsi="仿宋_GB2312" w:cs="仿宋_GB2312" w:hint="eastAsia"/>
          <w:szCs w:val="32"/>
        </w:rPr>
        <w:t>5</w:t>
      </w:r>
      <w:r>
        <w:rPr>
          <w:rFonts w:ascii="仿宋_GB2312" w:hAnsi="仿宋_GB2312" w:cs="仿宋_GB2312" w:hint="eastAsia"/>
          <w:szCs w:val="32"/>
        </w:rPr>
        <w:t>名。</w:t>
      </w:r>
    </w:p>
    <w:p w:rsidR="00D70FB0" w:rsidRDefault="00EE7950">
      <w:pPr>
        <w:pStyle w:val="a4"/>
        <w:adjustRightInd w:val="0"/>
        <w:snapToGrid w:val="0"/>
        <w:spacing w:line="560" w:lineRule="exact"/>
        <w:ind w:firstLineChars="200" w:firstLine="643"/>
        <w:jc w:val="left"/>
        <w:rPr>
          <w:rFonts w:ascii="仿宋_GB2312" w:hAnsi="仿宋_GB2312" w:cs="仿宋_GB2312"/>
          <w:szCs w:val="32"/>
        </w:rPr>
      </w:pPr>
      <w:r>
        <w:rPr>
          <w:rFonts w:ascii="仿宋_GB2312" w:hAnsi="仿宋_GB2312" w:cs="仿宋_GB2312" w:hint="eastAsia"/>
          <w:b/>
          <w:bCs/>
          <w:szCs w:val="32"/>
        </w:rPr>
        <w:t>——实施健康开平行动，居民健康素养进一步提升。</w:t>
      </w:r>
      <w:r>
        <w:rPr>
          <w:rFonts w:ascii="仿宋_GB2312" w:hAnsi="仿宋_GB2312" w:cs="仿宋_GB2312" w:hint="eastAsia"/>
          <w:szCs w:val="32"/>
        </w:rPr>
        <w:t>加强组织领导、强化协同配合、细化工作措施、健全长效机制、狠抓推进落实，深入开展“清垃圾、扫厕所、勤洗手、净餐馆、常消毒、管集市、众参与”</w:t>
      </w:r>
      <w:r>
        <w:rPr>
          <w:rFonts w:ascii="仿宋_GB2312" w:hAnsi="仿宋_GB2312" w:cs="仿宋_GB2312" w:hint="eastAsia"/>
          <w:szCs w:val="32"/>
        </w:rPr>
        <w:t>7</w:t>
      </w:r>
      <w:r>
        <w:rPr>
          <w:rFonts w:ascii="仿宋_GB2312" w:hAnsi="仿宋_GB2312" w:cs="仿宋_GB2312" w:hint="eastAsia"/>
          <w:szCs w:val="32"/>
        </w:rPr>
        <w:t>个专项行动，从源头消除健康危害因素。顺利通过</w:t>
      </w:r>
      <w:r>
        <w:rPr>
          <w:rFonts w:ascii="仿宋_GB2312" w:hAnsi="仿宋_GB2312" w:cs="仿宋_GB2312" w:hint="eastAsia"/>
          <w:szCs w:val="32"/>
        </w:rPr>
        <w:t>2019</w:t>
      </w:r>
      <w:r>
        <w:rPr>
          <w:rFonts w:ascii="仿宋_GB2312" w:hAnsi="仿宋_GB2312" w:cs="仿宋_GB2312" w:hint="eastAsia"/>
          <w:szCs w:val="32"/>
        </w:rPr>
        <w:t>年省卫生城市复审，全力争</w:t>
      </w:r>
      <w:r>
        <w:rPr>
          <w:rFonts w:ascii="仿宋_GB2312" w:hAnsi="仿宋_GB2312" w:cs="仿宋_GB2312" w:hint="eastAsia"/>
          <w:szCs w:val="32"/>
        </w:rPr>
        <w:lastRenderedPageBreak/>
        <w:t>创国家卫生镇。加快推进健康城市健康村镇工作，建设不少于</w:t>
      </w:r>
      <w:r>
        <w:rPr>
          <w:rFonts w:ascii="仿宋_GB2312" w:hAnsi="仿宋_GB2312" w:cs="仿宋_GB2312" w:hint="eastAsia"/>
          <w:szCs w:val="32"/>
        </w:rPr>
        <w:t>50</w:t>
      </w:r>
      <w:r>
        <w:rPr>
          <w:rFonts w:ascii="仿宋_GB2312" w:hAnsi="仿宋_GB2312" w:cs="仿宋_GB2312" w:hint="eastAsia"/>
          <w:szCs w:val="32"/>
        </w:rPr>
        <w:t>个健康社区、健康单位，不少于</w:t>
      </w:r>
      <w:r>
        <w:rPr>
          <w:rFonts w:ascii="仿宋_GB2312" w:hAnsi="仿宋_GB2312" w:cs="仿宋_GB2312" w:hint="eastAsia"/>
          <w:szCs w:val="32"/>
        </w:rPr>
        <w:t>500</w:t>
      </w:r>
      <w:r>
        <w:rPr>
          <w:rFonts w:ascii="仿宋_GB2312" w:hAnsi="仿宋_GB2312" w:cs="仿宋_GB2312" w:hint="eastAsia"/>
          <w:szCs w:val="32"/>
        </w:rPr>
        <w:t>个健康家庭“细胞”。做好省级健康促进县创建工作，</w:t>
      </w:r>
      <w:r>
        <w:rPr>
          <w:rFonts w:ascii="仿宋_GB2312" w:hAnsi="仿宋_GB2312" w:cs="仿宋_GB2312" w:hint="eastAsia"/>
          <w:szCs w:val="32"/>
        </w:rPr>
        <w:t>已创建健康医院</w:t>
      </w:r>
      <w:r>
        <w:rPr>
          <w:rFonts w:ascii="仿宋_GB2312" w:hAnsi="仿宋_GB2312" w:cs="仿宋_GB2312" w:hint="eastAsia"/>
          <w:szCs w:val="32"/>
        </w:rPr>
        <w:t>7</w:t>
      </w:r>
      <w:r>
        <w:rPr>
          <w:rFonts w:ascii="仿宋_GB2312" w:hAnsi="仿宋_GB2312" w:cs="仿宋_GB2312" w:hint="eastAsia"/>
          <w:szCs w:val="32"/>
        </w:rPr>
        <w:t>家、健康学校</w:t>
      </w:r>
      <w:r>
        <w:rPr>
          <w:rFonts w:ascii="仿宋_GB2312" w:hAnsi="仿宋_GB2312" w:cs="仿宋_GB2312" w:hint="eastAsia"/>
          <w:szCs w:val="32"/>
        </w:rPr>
        <w:t>12</w:t>
      </w:r>
      <w:r>
        <w:rPr>
          <w:rFonts w:ascii="仿宋_GB2312" w:hAnsi="仿宋_GB2312" w:cs="仿宋_GB2312" w:hint="eastAsia"/>
          <w:szCs w:val="32"/>
        </w:rPr>
        <w:t>所、健康社区</w:t>
      </w:r>
      <w:r>
        <w:rPr>
          <w:rFonts w:ascii="仿宋_GB2312" w:hAnsi="仿宋_GB2312" w:cs="仿宋_GB2312" w:hint="eastAsia"/>
          <w:szCs w:val="32"/>
        </w:rPr>
        <w:t>9</w:t>
      </w:r>
      <w:r>
        <w:rPr>
          <w:rFonts w:ascii="仿宋_GB2312" w:hAnsi="仿宋_GB2312" w:cs="仿宋_GB2312" w:hint="eastAsia"/>
          <w:szCs w:val="32"/>
        </w:rPr>
        <w:t>个、</w:t>
      </w:r>
      <w:proofErr w:type="gramStart"/>
      <w:r>
        <w:rPr>
          <w:rFonts w:ascii="仿宋_GB2312" w:hAnsi="仿宋_GB2312" w:cs="仿宋_GB2312" w:hint="eastAsia"/>
          <w:szCs w:val="32"/>
        </w:rPr>
        <w:t>健康企业</w:t>
      </w:r>
      <w:proofErr w:type="gramEnd"/>
      <w:r>
        <w:rPr>
          <w:rFonts w:ascii="仿宋_GB2312" w:hAnsi="仿宋_GB2312" w:cs="仿宋_GB2312" w:hint="eastAsia"/>
          <w:szCs w:val="32"/>
        </w:rPr>
        <w:t>8</w:t>
      </w:r>
      <w:r>
        <w:rPr>
          <w:rFonts w:ascii="仿宋_GB2312" w:hAnsi="仿宋_GB2312" w:cs="仿宋_GB2312" w:hint="eastAsia"/>
          <w:szCs w:val="32"/>
        </w:rPr>
        <w:t>家、健康家庭</w:t>
      </w:r>
      <w:r>
        <w:rPr>
          <w:rFonts w:ascii="仿宋_GB2312" w:hAnsi="仿宋_GB2312" w:cs="仿宋_GB2312" w:hint="eastAsia"/>
          <w:szCs w:val="32"/>
        </w:rPr>
        <w:t>23500</w:t>
      </w:r>
      <w:r>
        <w:rPr>
          <w:rFonts w:ascii="仿宋_GB2312" w:hAnsi="仿宋_GB2312" w:cs="仿宋_GB2312" w:hint="eastAsia"/>
          <w:szCs w:val="32"/>
        </w:rPr>
        <w:t>个。通过开展一系列如健步走、健康素养巡讲活动、建设人民公园健康步道和长沙南岛苍江健康主题广场等，提升居民群众的健康素养水平。</w:t>
      </w:r>
    </w:p>
    <w:p w:rsidR="00D70FB0" w:rsidRDefault="00EE7950">
      <w:pPr>
        <w:pStyle w:val="2"/>
        <w:spacing w:before="0" w:after="0" w:line="560" w:lineRule="exact"/>
        <w:ind w:firstLineChars="200" w:firstLine="643"/>
        <w:jc w:val="left"/>
        <w:rPr>
          <w:rFonts w:eastAsia="楷体" w:cs="黑体"/>
          <w:szCs w:val="22"/>
        </w:rPr>
      </w:pPr>
      <w:bookmarkStart w:id="16" w:name="_Toc84804935"/>
      <w:bookmarkStart w:id="17" w:name="_Toc60758090"/>
      <w:bookmarkStart w:id="18" w:name="_Toc57719814"/>
      <w:r>
        <w:rPr>
          <w:rFonts w:eastAsia="楷体" w:cs="黑体" w:hint="eastAsia"/>
          <w:szCs w:val="22"/>
        </w:rPr>
        <w:t>（二）</w:t>
      </w:r>
      <w:r>
        <w:rPr>
          <w:rFonts w:eastAsia="楷体" w:cs="黑体"/>
          <w:szCs w:val="22"/>
        </w:rPr>
        <w:t>形势与挑战</w:t>
      </w:r>
      <w:bookmarkEnd w:id="16"/>
      <w:bookmarkEnd w:id="17"/>
    </w:p>
    <w:bookmarkEnd w:id="18"/>
    <w:p w:rsidR="00D70FB0" w:rsidRDefault="00EE7950">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五”时期，我市发展的外部环境和自身条件都发生了复杂而深刻的重大变化，将进入具有新的历史特点的重要战略机遇期。进入新发展时期，经济社会持续快速发展，为卫生健康事业发展提供了有力支撑；城镇化、人口老龄化、疾病</w:t>
      </w:r>
      <w:proofErr w:type="gramStart"/>
      <w:r>
        <w:rPr>
          <w:rFonts w:ascii="仿宋_GB2312" w:eastAsia="仿宋_GB2312" w:hAnsi="仿宋_GB2312" w:cs="仿宋_GB2312" w:hint="eastAsia"/>
          <w:sz w:val="32"/>
          <w:szCs w:val="32"/>
        </w:rPr>
        <w:t>谱变化</w:t>
      </w:r>
      <w:proofErr w:type="gramEnd"/>
      <w:r>
        <w:rPr>
          <w:rFonts w:ascii="仿宋_GB2312" w:eastAsia="仿宋_GB2312" w:hAnsi="仿宋_GB2312" w:cs="仿宋_GB2312" w:hint="eastAsia"/>
          <w:sz w:val="32"/>
          <w:szCs w:val="32"/>
        </w:rPr>
        <w:t>对健康服务供给提出了新需求；抢抓粤港澳大湾区和深圳中国特色社会主义先行</w:t>
      </w:r>
      <w:r>
        <w:rPr>
          <w:rFonts w:ascii="仿宋_GB2312" w:eastAsia="仿宋_GB2312" w:hAnsi="仿宋_GB2312" w:cs="仿宋_GB2312" w:hint="eastAsia"/>
          <w:sz w:val="32"/>
          <w:szCs w:val="32"/>
        </w:rPr>
        <w:t>示范区建设重大机遇，对卫生健康资源配置提出了新要求；推进健康开平建设为卫生健康事业持续发展提供了新动力。同时，云计算、物联网、人工智能、大数据等信息化技术的快速发展，为优化医疗卫生业务流程、提高服务效率提供了条件，也为推动卫生健康服务模式和管理模式的深刻转变带来了新机遇。</w:t>
      </w:r>
    </w:p>
    <w:p w:rsidR="00D70FB0" w:rsidRDefault="00EE7950">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同时，“十四五”时期，我市卫生与健康事业发展仍面临不少困难和挑战，新冠肺炎疫情的防控，暴露出我市重大疫情防控体制机制、公共卫生应急管理体系建设等方面存在的不足。一是重大疫情防控相关配套制度有待优化。重大突发公共卫生事件应急响应机制有待完善</w:t>
      </w:r>
      <w:r>
        <w:rPr>
          <w:rFonts w:ascii="仿宋_GB2312" w:eastAsia="仿宋_GB2312" w:hAnsi="仿宋_GB2312" w:cs="仿宋_GB2312" w:hint="eastAsia"/>
          <w:sz w:val="32"/>
          <w:szCs w:val="32"/>
        </w:rPr>
        <w:t>，相关应急预案的操</w:t>
      </w:r>
      <w:r>
        <w:rPr>
          <w:rFonts w:ascii="仿宋_GB2312" w:eastAsia="仿宋_GB2312" w:hAnsi="仿宋_GB2312" w:cs="仿宋_GB2312" w:hint="eastAsia"/>
          <w:sz w:val="32"/>
          <w:szCs w:val="32"/>
        </w:rPr>
        <w:lastRenderedPageBreak/>
        <w:t>作性和针对性有待增强。医疗机构和疾病预防控制机构紧密结合、连续服务、有效衔接的工作模式和工作机制尚待建立。二是公共卫生基础投入、医疗物资战略储备相对不足。常态普遍产能过剩与应急时产能不足的矛盾尚未得到有效解决。应急物资储备类别和数量与实际需求有差距，紧缺、急需、常用的物资储备不够。如新冠肺炎疫情暴发初期，重点卫生防疫物资包括医用口罩、防护服、护目镜等严重不足，导致一段时间内防控物资供应十分紧张。三是疾病预防控制和传染病救治能力有待提升。我市</w:t>
      </w:r>
      <w:proofErr w:type="gramStart"/>
      <w:r>
        <w:rPr>
          <w:rFonts w:ascii="仿宋_GB2312" w:eastAsia="仿宋_GB2312" w:hAnsi="仿宋_GB2312" w:cs="仿宋_GB2312" w:hint="eastAsia"/>
          <w:sz w:val="32"/>
          <w:szCs w:val="32"/>
        </w:rPr>
        <w:t>疾控机构</w:t>
      </w:r>
      <w:proofErr w:type="gramEnd"/>
      <w:r>
        <w:rPr>
          <w:rFonts w:ascii="仿宋_GB2312" w:eastAsia="仿宋_GB2312" w:hAnsi="仿宋_GB2312" w:cs="仿宋_GB2312" w:hint="eastAsia"/>
          <w:sz w:val="32"/>
          <w:szCs w:val="32"/>
        </w:rPr>
        <w:t>检测能力有待提升，部分设备老化陈旧，信息化</w:t>
      </w:r>
      <w:r>
        <w:rPr>
          <w:rFonts w:ascii="仿宋_GB2312" w:eastAsia="仿宋_GB2312" w:hAnsi="仿宋_GB2312" w:cs="仿宋_GB2312" w:hint="eastAsia"/>
          <w:sz w:val="32"/>
          <w:szCs w:val="32"/>
        </w:rPr>
        <w:t>建设相对滞后。部分医疗卫生机构发热门诊投入不足，设置有待进一步规范化。基层医疗卫生机构公共卫生服务能力薄弱，部分基层医疗机构仅能对常见病、慢性病诊疗，对于传染病的治疗能力不足。</w:t>
      </w:r>
    </w:p>
    <w:p w:rsidR="00D70FB0" w:rsidRDefault="00EE7950">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于历史原因，我市医疗机构资源配置不平衡，医疗资源城乡二元结构十分明显。医疗资源基本集中在城区医疗卫生机构，基层医疗卫生机构建设相对薄弱。基层医疗卫生机构缺乏业务骨干、特色科室长期停摆、服务能力提升困难的基本面还没有得到根本扭转。特别是基层学科发展比较缓慢，主要以内科、外科为主，具备妇产科、口腔科、眼科、康复科诊疗能力的基层医疗卫生</w:t>
      </w:r>
      <w:r>
        <w:rPr>
          <w:rFonts w:ascii="仿宋_GB2312" w:eastAsia="仿宋_GB2312" w:hAnsi="仿宋_GB2312" w:cs="仿宋_GB2312" w:hint="eastAsia"/>
          <w:sz w:val="32"/>
          <w:szCs w:val="32"/>
        </w:rPr>
        <w:t>机构不足</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rsidR="00D70FB0" w:rsidRDefault="00EE7950">
      <w:pPr>
        <w:adjustRightInd w:val="0"/>
        <w:snapToGrid w:val="0"/>
        <w:spacing w:line="560" w:lineRule="exact"/>
        <w:ind w:firstLineChars="200" w:firstLine="640"/>
        <w:jc w:val="left"/>
        <w:rPr>
          <w:rFonts w:ascii="仿宋_GB2312" w:eastAsia="仿宋_GB2312" w:hAnsi="仿宋_GB2312" w:cs="仿宋_GB2312"/>
          <w:sz w:val="32"/>
          <w:szCs w:val="32"/>
        </w:rPr>
      </w:pPr>
      <w:bookmarkStart w:id="19" w:name="_Toc57719816"/>
      <w:r>
        <w:rPr>
          <w:rFonts w:ascii="仿宋_GB2312" w:eastAsia="仿宋_GB2312" w:hAnsi="仿宋_GB2312" w:cs="仿宋_GB2312" w:hint="eastAsia"/>
          <w:sz w:val="32"/>
          <w:szCs w:val="32"/>
        </w:rPr>
        <w:t>人才队伍建设有待进一步加强。</w:t>
      </w:r>
      <w:bookmarkEnd w:id="19"/>
      <w:r>
        <w:rPr>
          <w:rFonts w:ascii="仿宋_GB2312" w:eastAsia="仿宋_GB2312" w:hAnsi="仿宋_GB2312" w:cs="仿宋_GB2312" w:hint="eastAsia"/>
          <w:sz w:val="32"/>
          <w:szCs w:val="32"/>
        </w:rPr>
        <w:t>我市在人才队伍建设上作了许多的努力，对全市医疗卫生人才起到了稳定、引流和发展的作用，但是，我市人才队伍相对而言底子薄弱、发展不平衡的问题难以在短期内得以有效解决，仍是影响我市医</w:t>
      </w:r>
      <w:r>
        <w:rPr>
          <w:rFonts w:ascii="仿宋_GB2312" w:eastAsia="仿宋_GB2312" w:hAnsi="仿宋_GB2312" w:cs="仿宋_GB2312" w:hint="eastAsia"/>
          <w:sz w:val="32"/>
          <w:szCs w:val="32"/>
        </w:rPr>
        <w:lastRenderedPageBreak/>
        <w:t>疗服务能力提升的核心因素。一是人才总量不足。我市目前每千常住人口执业（助理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师、注册护士、每万常住人口全科医生等数据与国家规划目标及建设卫生强县（市、区）主要评估指标还有较大的差距，卫生专业技术人才主要指标在总量上明显不足，还不能满足人民群众健康服务需求。二是人才队伍结构不合理，整体学历</w:t>
      </w:r>
      <w:r>
        <w:rPr>
          <w:rFonts w:ascii="仿宋_GB2312" w:eastAsia="仿宋_GB2312" w:hAnsi="仿宋_GB2312" w:cs="仿宋_GB2312" w:hint="eastAsia"/>
          <w:sz w:val="32"/>
          <w:szCs w:val="32"/>
        </w:rPr>
        <w:t>和技术层级明显偏低。全科医生、精神病防治、公共卫生、儿科、妇产、病理、影像、麻醉、放射等专业医师紧缺问题突出。三是人才引进难、留不住。由于我市医疗技术服务水平总体不高，对高层次的专业技术人才和重点医学院校的应届毕业生吸引力有限，我市边远地区的基层医疗岗位甚至时常出现无人报名的情况。</w:t>
      </w:r>
    </w:p>
    <w:p w:rsidR="00D70FB0" w:rsidRDefault="00EE7950">
      <w:pPr>
        <w:pStyle w:val="1"/>
        <w:spacing w:line="560" w:lineRule="exact"/>
        <w:ind w:leftChars="0" w:left="0" w:rightChars="0" w:right="0" w:firstLineChars="200" w:firstLine="643"/>
        <w:jc w:val="left"/>
        <w:rPr>
          <w:rFonts w:ascii="Calibri" w:eastAsia="黑体" w:hAnsi="Calibri" w:cs="黑体"/>
          <w:bCs w:val="0"/>
          <w:sz w:val="32"/>
          <w:szCs w:val="22"/>
        </w:rPr>
      </w:pPr>
      <w:bookmarkStart w:id="20" w:name="_Toc84804936"/>
      <w:bookmarkStart w:id="21" w:name="_Toc60758091"/>
      <w:r>
        <w:rPr>
          <w:rFonts w:ascii="Calibri" w:eastAsia="黑体" w:hAnsi="Calibri" w:cs="黑体" w:hint="eastAsia"/>
          <w:bCs w:val="0"/>
          <w:sz w:val="32"/>
          <w:szCs w:val="22"/>
        </w:rPr>
        <w:t>二、总体要求</w:t>
      </w:r>
      <w:bookmarkEnd w:id="20"/>
      <w:bookmarkEnd w:id="21"/>
    </w:p>
    <w:p w:rsidR="00D70FB0" w:rsidRDefault="00EE7950">
      <w:pPr>
        <w:pStyle w:val="2"/>
        <w:spacing w:before="0" w:after="0" w:line="560" w:lineRule="exact"/>
        <w:ind w:firstLineChars="200" w:firstLine="643"/>
        <w:jc w:val="left"/>
        <w:rPr>
          <w:rFonts w:eastAsia="楷体" w:cs="黑体"/>
          <w:szCs w:val="22"/>
        </w:rPr>
      </w:pPr>
      <w:bookmarkStart w:id="22" w:name="_Toc60758092"/>
      <w:bookmarkStart w:id="23" w:name="_Toc84804937"/>
      <w:r>
        <w:rPr>
          <w:rFonts w:eastAsia="楷体" w:cs="黑体" w:hint="eastAsia"/>
          <w:szCs w:val="22"/>
        </w:rPr>
        <w:t>（一）指导思想</w:t>
      </w:r>
      <w:bookmarkEnd w:id="22"/>
      <w:bookmarkEnd w:id="23"/>
    </w:p>
    <w:p w:rsidR="00D70FB0" w:rsidRDefault="00EE7950">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以习近平新时代中国特色社会主义思想为指导，全面贯彻党的十九大和十九届二中、三中、四中、五中</w:t>
      </w:r>
      <w:r>
        <w:rPr>
          <w:rFonts w:ascii="仿宋_GB2312" w:eastAsia="仿宋_GB2312" w:hAnsi="仿宋_GB2312" w:cs="仿宋_GB2312" w:hint="eastAsia"/>
          <w:sz w:val="32"/>
          <w:szCs w:val="32"/>
        </w:rPr>
        <w:t>、六中</w:t>
      </w:r>
      <w:r>
        <w:rPr>
          <w:rFonts w:ascii="仿宋_GB2312" w:eastAsia="仿宋_GB2312" w:hAnsi="仿宋_GB2312" w:cs="仿宋_GB2312" w:hint="eastAsia"/>
          <w:sz w:val="32"/>
          <w:szCs w:val="32"/>
        </w:rPr>
        <w:t>全会精神，深入贯彻习近平总书记对广东系列重要讲话和重要指示批示精神，围绕贯彻落实总书记赋予广东在全面建设社会主义现代化国家新征程中走在全国前列、创造新的辉煌的使命任务，以“四个坚持、三个支撑、两个走在前列”为统领，统筹推进“五位一体”总体布局，协调推进“四个全面”战略部署，认真落实党中央、国务院和省委、省政府的决策部署，牢固树立创新、协调、绿色、开放、共享的新发展理念，以“以人民健康为中心，以基层为重点，以改革创新为动力，预防为主，中西医并重，把健康融入所有政策，人民共建共</w:t>
      </w:r>
      <w:r>
        <w:rPr>
          <w:rFonts w:ascii="仿宋_GB2312" w:eastAsia="仿宋_GB2312" w:hAnsi="仿宋_GB2312" w:cs="仿宋_GB2312" w:hint="eastAsia"/>
          <w:sz w:val="32"/>
          <w:szCs w:val="32"/>
        </w:rPr>
        <w:lastRenderedPageBreak/>
        <w:t>享”的卫生与健康工作方针，充分整合</w:t>
      </w:r>
      <w:r>
        <w:rPr>
          <w:rFonts w:ascii="仿宋_GB2312" w:eastAsia="仿宋_GB2312" w:hAnsi="仿宋_GB2312" w:cs="仿宋_GB2312" w:hint="eastAsia"/>
          <w:sz w:val="32"/>
          <w:szCs w:val="32"/>
        </w:rPr>
        <w:t>发展开平市卫生与健康资源，全力推进卫生与健康行动计划，整体提升卫生与健康服务水平，打造健康开平。</w:t>
      </w:r>
    </w:p>
    <w:p w:rsidR="00D70FB0" w:rsidRDefault="00EE7950">
      <w:pPr>
        <w:pStyle w:val="2"/>
        <w:spacing w:before="0" w:after="0" w:line="560" w:lineRule="exact"/>
        <w:ind w:firstLineChars="200" w:firstLine="643"/>
        <w:jc w:val="left"/>
        <w:rPr>
          <w:rFonts w:eastAsia="楷体" w:cs="黑体"/>
          <w:szCs w:val="22"/>
        </w:rPr>
      </w:pPr>
      <w:bookmarkStart w:id="24" w:name="_Toc84804938"/>
      <w:bookmarkStart w:id="25" w:name="_Toc60758093"/>
      <w:r>
        <w:rPr>
          <w:rFonts w:eastAsia="楷体" w:cs="黑体" w:hint="eastAsia"/>
          <w:szCs w:val="22"/>
        </w:rPr>
        <w:t>（二）基本原则</w:t>
      </w:r>
      <w:bookmarkEnd w:id="24"/>
      <w:bookmarkEnd w:id="25"/>
    </w:p>
    <w:p w:rsidR="00D70FB0" w:rsidRDefault="00EE7950">
      <w:pPr>
        <w:adjustRightInd w:val="0"/>
        <w:snapToGrid w:val="0"/>
        <w:spacing w:line="560" w:lineRule="exact"/>
        <w:ind w:firstLine="640"/>
        <w:jc w:val="left"/>
        <w:rPr>
          <w:rFonts w:ascii="仿宋_GB2312" w:eastAsia="仿宋_GB2312" w:hAnsi="仿宋_GB2312" w:cs="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坚持以人为本，促进</w:t>
      </w:r>
      <w:proofErr w:type="gramStart"/>
      <w:r>
        <w:rPr>
          <w:rFonts w:ascii="楷体_GB2312" w:eastAsia="楷体_GB2312" w:hAnsi="楷体_GB2312" w:cs="楷体_GB2312" w:hint="eastAsia"/>
          <w:b/>
          <w:sz w:val="32"/>
          <w:szCs w:val="32"/>
        </w:rPr>
        <w:t>公平可</w:t>
      </w:r>
      <w:proofErr w:type="gramEnd"/>
      <w:r>
        <w:rPr>
          <w:rFonts w:ascii="楷体_GB2312" w:eastAsia="楷体_GB2312" w:hAnsi="楷体_GB2312" w:cs="楷体_GB2312" w:hint="eastAsia"/>
          <w:b/>
          <w:sz w:val="32"/>
          <w:szCs w:val="32"/>
        </w:rPr>
        <w:t>及。</w:t>
      </w:r>
      <w:r>
        <w:rPr>
          <w:rFonts w:ascii="仿宋_GB2312" w:eastAsia="仿宋_GB2312" w:hAnsi="仿宋_GB2312" w:cs="仿宋_GB2312" w:hint="eastAsia"/>
          <w:sz w:val="32"/>
          <w:szCs w:val="32"/>
        </w:rPr>
        <w:t>始终把维护人民群众的健康权益放在首位，提高基本医疗卫生与健康服务的公平性与可及性，使城乡居民共享卫生与健康事业不断创新与发展的成果。</w:t>
      </w:r>
    </w:p>
    <w:p w:rsidR="00D70FB0" w:rsidRDefault="00EE7950">
      <w:pPr>
        <w:adjustRightInd w:val="0"/>
        <w:snapToGrid w:val="0"/>
        <w:spacing w:line="560" w:lineRule="exact"/>
        <w:ind w:firstLine="640"/>
        <w:jc w:val="left"/>
        <w:rPr>
          <w:rFonts w:ascii="仿宋_GB2312" w:eastAsia="仿宋_GB2312" w:hAnsi="仿宋_GB2312" w:cs="仿宋_GB2312"/>
          <w:sz w:val="32"/>
          <w:szCs w:val="32"/>
        </w:rPr>
      </w:pPr>
      <w:r>
        <w:rPr>
          <w:rFonts w:ascii="楷体_GB2312" w:eastAsia="楷体_GB2312" w:hAnsi="楷体_GB2312" w:cs="楷体_GB2312" w:hint="eastAsia"/>
          <w:b/>
          <w:sz w:val="32"/>
          <w:szCs w:val="32"/>
        </w:rPr>
        <w:t>2.</w:t>
      </w:r>
      <w:r>
        <w:rPr>
          <w:rFonts w:ascii="楷体_GB2312" w:eastAsia="楷体_GB2312" w:hAnsi="楷体_GB2312" w:cs="楷体_GB2312" w:hint="eastAsia"/>
          <w:b/>
          <w:sz w:val="32"/>
          <w:szCs w:val="32"/>
        </w:rPr>
        <w:t>坚持统筹兼顾，促进均衡协调。</w:t>
      </w:r>
      <w:r>
        <w:rPr>
          <w:rFonts w:ascii="仿宋_GB2312" w:eastAsia="仿宋_GB2312" w:hAnsi="仿宋_GB2312" w:cs="仿宋_GB2312" w:hint="eastAsia"/>
          <w:sz w:val="32"/>
          <w:szCs w:val="32"/>
        </w:rPr>
        <w:t>统筹卫生与健康资源配置，优化城乡、村（居）和系统内各区域医疗资源的布局，增量资源重点面向基层倾斜，不断促进卫生健康事业发展的整体性、均衡性与协调性。</w:t>
      </w:r>
    </w:p>
    <w:p w:rsidR="00D70FB0" w:rsidRDefault="00EE7950">
      <w:pPr>
        <w:adjustRightInd w:val="0"/>
        <w:snapToGrid w:val="0"/>
        <w:spacing w:line="560" w:lineRule="exact"/>
        <w:ind w:firstLine="640"/>
        <w:jc w:val="left"/>
        <w:rPr>
          <w:rFonts w:ascii="仿宋_GB2312" w:eastAsia="仿宋_GB2312" w:hAnsi="仿宋_GB2312" w:cs="仿宋_GB2312"/>
          <w:sz w:val="32"/>
          <w:szCs w:val="32"/>
        </w:rPr>
      </w:pP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坚持改革创新，促进持续发展。</w:t>
      </w:r>
      <w:r>
        <w:rPr>
          <w:rFonts w:ascii="仿宋_GB2312" w:eastAsia="仿宋_GB2312" w:hAnsi="仿宋_GB2312" w:cs="仿宋_GB2312" w:hint="eastAsia"/>
          <w:sz w:val="32"/>
          <w:szCs w:val="32"/>
        </w:rPr>
        <w:t>改革创新体制机制，</w:t>
      </w:r>
      <w:r>
        <w:rPr>
          <w:rFonts w:ascii="仿宋_GB2312" w:eastAsia="仿宋_GB2312" w:hAnsi="仿宋_GB2312" w:cs="仿宋_GB2312" w:hint="eastAsia"/>
          <w:sz w:val="32"/>
          <w:szCs w:val="32"/>
        </w:rPr>
        <w:t>充分激发卫生与健康事业发展活力，进一步推动</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联体、</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共体的发展，形成“互联网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”医疗新格局，优化再造医疗服务流程，促进卫生健康事业持续发展。</w:t>
      </w:r>
    </w:p>
    <w:p w:rsidR="00D70FB0" w:rsidRDefault="00EE7950">
      <w:pPr>
        <w:adjustRightInd w:val="0"/>
        <w:snapToGrid w:val="0"/>
        <w:spacing w:line="560" w:lineRule="exact"/>
        <w:ind w:firstLine="640"/>
        <w:jc w:val="left"/>
        <w:rPr>
          <w:rFonts w:ascii="仿宋_GB2312" w:eastAsia="仿宋_GB2312" w:hAnsi="仿宋_GB2312" w:cs="仿宋_GB2312"/>
          <w:sz w:val="32"/>
          <w:szCs w:val="32"/>
        </w:rPr>
      </w:pPr>
      <w:r>
        <w:rPr>
          <w:rFonts w:ascii="楷体_GB2312" w:eastAsia="楷体_GB2312" w:hAnsi="楷体_GB2312" w:cs="楷体_GB2312" w:hint="eastAsia"/>
          <w:b/>
          <w:sz w:val="32"/>
          <w:szCs w:val="32"/>
        </w:rPr>
        <w:t>4.</w:t>
      </w:r>
      <w:r>
        <w:rPr>
          <w:rFonts w:ascii="楷体_GB2312" w:eastAsia="楷体_GB2312" w:hAnsi="楷体_GB2312" w:cs="楷体_GB2312" w:hint="eastAsia"/>
          <w:b/>
          <w:sz w:val="32"/>
          <w:szCs w:val="32"/>
        </w:rPr>
        <w:t>坚持政府主导，促进社会参与。</w:t>
      </w:r>
      <w:r>
        <w:rPr>
          <w:rFonts w:ascii="仿宋_GB2312" w:eastAsia="仿宋_GB2312" w:hAnsi="仿宋_GB2312" w:cs="仿宋_GB2312" w:hint="eastAsia"/>
          <w:sz w:val="32"/>
          <w:szCs w:val="32"/>
        </w:rPr>
        <w:t>充分发挥政府保障医疗卫生服务的主导作用，坚持基本医疗卫生事业的公益性，适当鼓励和支持社会资本进入卫生与健康领域，促进多元并举，满足多层次、多样化与个性化的健康需求。</w:t>
      </w:r>
    </w:p>
    <w:p w:rsidR="00D70FB0" w:rsidRDefault="00EE7950">
      <w:pPr>
        <w:adjustRightInd w:val="0"/>
        <w:snapToGrid w:val="0"/>
        <w:spacing w:line="560" w:lineRule="exact"/>
        <w:ind w:firstLine="640"/>
        <w:jc w:val="left"/>
        <w:rPr>
          <w:rFonts w:ascii="仿宋_GB2312" w:eastAsia="仿宋_GB2312" w:hAnsi="仿宋_GB2312" w:cs="仿宋_GB2312"/>
          <w:sz w:val="32"/>
          <w:szCs w:val="32"/>
        </w:rPr>
      </w:pPr>
      <w:r>
        <w:rPr>
          <w:rFonts w:ascii="楷体_GB2312" w:eastAsia="楷体_GB2312" w:hAnsi="楷体_GB2312" w:cs="楷体_GB2312" w:hint="eastAsia"/>
          <w:b/>
          <w:sz w:val="32"/>
          <w:szCs w:val="32"/>
        </w:rPr>
        <w:t>5.</w:t>
      </w:r>
      <w:r>
        <w:rPr>
          <w:rFonts w:ascii="楷体_GB2312" w:eastAsia="楷体_GB2312" w:hAnsi="楷体_GB2312" w:cs="楷体_GB2312" w:hint="eastAsia"/>
          <w:b/>
          <w:sz w:val="32"/>
          <w:szCs w:val="32"/>
        </w:rPr>
        <w:t>坚持中西医并重，促进优势互补。</w:t>
      </w:r>
      <w:r>
        <w:rPr>
          <w:rFonts w:ascii="仿宋_GB2312" w:eastAsia="仿宋_GB2312" w:hAnsi="仿宋_GB2312" w:cs="仿宋_GB2312" w:hint="eastAsia"/>
          <w:sz w:val="32"/>
          <w:szCs w:val="32"/>
        </w:rPr>
        <w:t>坚持传承与创新相结合，充分发挥中医药特色优势，不断完善中医药服务体系，不断提升中医药服务能力，中西医并重，实现优势互补，协调发展。</w:t>
      </w:r>
    </w:p>
    <w:p w:rsidR="00D70FB0" w:rsidRDefault="00EE7950">
      <w:pPr>
        <w:pStyle w:val="2"/>
        <w:spacing w:before="0" w:after="0" w:line="560" w:lineRule="exact"/>
        <w:ind w:firstLineChars="200" w:firstLine="643"/>
        <w:jc w:val="left"/>
        <w:rPr>
          <w:rFonts w:eastAsia="楷体" w:cs="黑体"/>
          <w:szCs w:val="22"/>
        </w:rPr>
      </w:pPr>
      <w:bookmarkStart w:id="26" w:name="_Toc29789"/>
      <w:bookmarkStart w:id="27" w:name="_Toc10471"/>
      <w:bookmarkStart w:id="28" w:name="_Toc14427"/>
      <w:bookmarkStart w:id="29" w:name="_Toc21733"/>
      <w:bookmarkStart w:id="30" w:name="_Toc84804939"/>
      <w:bookmarkStart w:id="31" w:name="_Toc60758094"/>
      <w:r>
        <w:rPr>
          <w:rFonts w:eastAsia="楷体" w:cs="黑体" w:hint="eastAsia"/>
          <w:szCs w:val="22"/>
        </w:rPr>
        <w:lastRenderedPageBreak/>
        <w:t>（三）</w:t>
      </w:r>
      <w:r>
        <w:rPr>
          <w:rFonts w:eastAsia="楷体" w:cs="黑体" w:hint="eastAsia"/>
          <w:szCs w:val="22"/>
        </w:rPr>
        <w:t>规划依据</w:t>
      </w:r>
      <w:bookmarkEnd w:id="26"/>
      <w:bookmarkEnd w:id="27"/>
      <w:bookmarkEnd w:id="28"/>
      <w:bookmarkEnd w:id="29"/>
      <w:bookmarkEnd w:id="30"/>
    </w:p>
    <w:p w:rsidR="00D70FB0" w:rsidRDefault="00EE7950">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法律法规。</w:t>
      </w:r>
      <w:r>
        <w:rPr>
          <w:rFonts w:ascii="仿宋_GB2312" w:eastAsia="仿宋_GB2312" w:hAnsi="仿宋_GB2312" w:cs="仿宋_GB2312" w:hint="eastAsia"/>
          <w:sz w:val="32"/>
          <w:szCs w:val="32"/>
        </w:rPr>
        <w:t>《中华人民共和国基本医疗卫生与健康促进法》《中华人民共和国传染病防治法》《中华人民共和国母婴保健法》《中华人民共和国中医药法》《中华人民共和国医师法》《中华人民共和国人口与计划生育法》《医疗机构管理条例》《突发公共卫生事件应急条例》等。</w:t>
      </w:r>
    </w:p>
    <w:p w:rsidR="00D70FB0" w:rsidRDefault="00EE7950">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sz w:val="32"/>
          <w:szCs w:val="32"/>
        </w:rPr>
        <w:t>2.</w:t>
      </w:r>
      <w:r>
        <w:rPr>
          <w:rFonts w:ascii="楷体_GB2312" w:eastAsia="楷体_GB2312" w:hAnsi="楷体_GB2312" w:cs="楷体_GB2312" w:hint="eastAsia"/>
          <w:b/>
          <w:sz w:val="32"/>
          <w:szCs w:val="32"/>
        </w:rPr>
        <w:t>相关规划。</w:t>
      </w:r>
      <w:r>
        <w:rPr>
          <w:rFonts w:ascii="仿宋_GB2312" w:eastAsia="仿宋_GB2312" w:hAnsi="仿宋_GB2312" w:cs="仿宋_GB2312" w:hint="eastAsia"/>
          <w:sz w:val="32"/>
          <w:szCs w:val="32"/>
        </w:rPr>
        <w:t>《“健康中国</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”规划纲要》《中华人民共和国国民经济和社会发展第十四个五年规划和</w:t>
      </w:r>
      <w:r>
        <w:rPr>
          <w:rFonts w:ascii="仿宋_GB2312" w:eastAsia="仿宋_GB2312" w:hAnsi="仿宋_GB2312" w:cs="仿宋_GB2312" w:hint="eastAsia"/>
          <w:sz w:val="32"/>
          <w:szCs w:val="32"/>
        </w:rPr>
        <w:t>2035</w:t>
      </w:r>
      <w:r>
        <w:rPr>
          <w:rFonts w:ascii="仿宋_GB2312" w:eastAsia="仿宋_GB2312" w:hAnsi="仿宋_GB2312" w:cs="仿宋_GB2312" w:hint="eastAsia"/>
          <w:sz w:val="32"/>
          <w:szCs w:val="32"/>
        </w:rPr>
        <w:t>年远景目标纲要》《广东省卫生健康事业发展“十四五”规划》《“健康江门</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”规划》《江门市国民经济和社会发展第十四个五年规划和</w:t>
      </w:r>
      <w:r>
        <w:rPr>
          <w:rFonts w:ascii="仿宋_GB2312" w:eastAsia="仿宋_GB2312" w:hAnsi="仿宋_GB2312" w:cs="仿宋_GB2312" w:hint="eastAsia"/>
          <w:sz w:val="32"/>
          <w:szCs w:val="32"/>
        </w:rPr>
        <w:t>2035</w:t>
      </w:r>
      <w:r>
        <w:rPr>
          <w:rFonts w:ascii="仿宋_GB2312" w:eastAsia="仿宋_GB2312" w:hAnsi="仿宋_GB2312" w:cs="仿宋_GB2312" w:hint="eastAsia"/>
          <w:sz w:val="32"/>
          <w:szCs w:val="32"/>
        </w:rPr>
        <w:t>年远景目</w:t>
      </w:r>
      <w:r>
        <w:rPr>
          <w:rFonts w:ascii="仿宋_GB2312" w:eastAsia="仿宋_GB2312" w:hAnsi="仿宋_GB2312" w:cs="仿宋_GB2312" w:hint="eastAsia"/>
          <w:sz w:val="32"/>
          <w:szCs w:val="32"/>
        </w:rPr>
        <w:t>标纲要》等。</w:t>
      </w:r>
    </w:p>
    <w:p w:rsidR="00D70FB0" w:rsidRDefault="00EE7950">
      <w:pPr>
        <w:adjustRightInd w:val="0"/>
        <w:snapToGrid w:val="0"/>
        <w:spacing w:line="560" w:lineRule="exact"/>
        <w:ind w:firstLineChars="200" w:firstLine="643"/>
        <w:rPr>
          <w:rFonts w:ascii="Calibri" w:eastAsia="仿宋_GB2312" w:hAnsi="Calibri" w:cs="黑体"/>
          <w:sz w:val="32"/>
          <w:szCs w:val="32"/>
        </w:rPr>
      </w:pP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相关文件。</w:t>
      </w:r>
      <w:r>
        <w:rPr>
          <w:rFonts w:ascii="仿宋_GB2312" w:eastAsia="仿宋_GB2312" w:hAnsi="仿宋_GB2312" w:cs="仿宋_GB2312" w:hint="eastAsia"/>
          <w:sz w:val="32"/>
          <w:szCs w:val="32"/>
        </w:rPr>
        <w:t>《健康江门行动（</w:t>
      </w:r>
      <w:r>
        <w:rPr>
          <w:rFonts w:ascii="仿宋_GB2312" w:eastAsia="仿宋_GB2312" w:hAnsi="仿宋_GB2312" w:cs="仿宋_GB2312" w:hint="eastAsia"/>
          <w:sz w:val="32"/>
          <w:szCs w:val="32"/>
        </w:rPr>
        <w:t>2020-2030</w:t>
      </w:r>
      <w:r>
        <w:rPr>
          <w:rFonts w:ascii="仿宋_GB2312" w:eastAsia="仿宋_GB2312" w:hAnsi="仿宋_GB2312" w:cs="仿宋_GB2312" w:hint="eastAsia"/>
          <w:sz w:val="32"/>
          <w:szCs w:val="32"/>
        </w:rPr>
        <w:t>年）》《江门市提升公共卫生服务能力项目建设方案》《江门市促进中医药传承创新发展实施方案（</w:t>
      </w:r>
      <w:r>
        <w:rPr>
          <w:rFonts w:ascii="仿宋_GB2312" w:eastAsia="仿宋_GB2312" w:hAnsi="仿宋_GB2312" w:cs="仿宋_GB2312" w:hint="eastAsia"/>
          <w:sz w:val="32"/>
          <w:szCs w:val="32"/>
        </w:rPr>
        <w:t>2020-2025</w:t>
      </w:r>
      <w:r>
        <w:rPr>
          <w:rFonts w:ascii="仿宋_GB2312" w:eastAsia="仿宋_GB2312" w:hAnsi="仿宋_GB2312" w:cs="仿宋_GB2312" w:hint="eastAsia"/>
          <w:sz w:val="32"/>
          <w:szCs w:val="32"/>
        </w:rPr>
        <w:t>年）》等</w:t>
      </w:r>
      <w:r>
        <w:rPr>
          <w:rFonts w:ascii="Calibri" w:eastAsia="仿宋_GB2312" w:hAnsi="Calibri" w:cs="黑体"/>
          <w:sz w:val="32"/>
          <w:szCs w:val="32"/>
        </w:rPr>
        <w:t>。</w:t>
      </w:r>
    </w:p>
    <w:p w:rsidR="00D70FB0" w:rsidRDefault="00EE7950">
      <w:pPr>
        <w:pStyle w:val="2"/>
        <w:spacing w:before="0" w:after="0" w:line="560" w:lineRule="exact"/>
        <w:ind w:firstLineChars="200" w:firstLine="643"/>
        <w:jc w:val="left"/>
        <w:rPr>
          <w:rFonts w:eastAsia="楷体" w:cs="黑体"/>
          <w:szCs w:val="22"/>
        </w:rPr>
      </w:pPr>
      <w:bookmarkStart w:id="32" w:name="_Toc84804940"/>
      <w:r>
        <w:rPr>
          <w:rFonts w:eastAsia="楷体" w:cs="黑体" w:hint="eastAsia"/>
          <w:szCs w:val="22"/>
        </w:rPr>
        <w:t>（四）发展目标</w:t>
      </w:r>
      <w:bookmarkEnd w:id="31"/>
      <w:bookmarkEnd w:id="32"/>
    </w:p>
    <w:p w:rsidR="00D70FB0" w:rsidRDefault="00EE7950">
      <w:pPr>
        <w:adjustRightInd w:val="0"/>
        <w:snapToGrid w:val="0"/>
        <w:spacing w:line="560" w:lineRule="exact"/>
        <w:ind w:firstLineChars="200" w:firstLine="640"/>
        <w:jc w:val="left"/>
        <w:rPr>
          <w:rFonts w:ascii="仿宋_GB2312" w:eastAsia="仿宋_GB2312" w:hAnsi="Calibri" w:cs="黑体"/>
          <w:sz w:val="32"/>
          <w:szCs w:val="32"/>
        </w:rPr>
      </w:pPr>
      <w:r>
        <w:rPr>
          <w:rFonts w:ascii="仿宋_GB2312" w:eastAsia="仿宋_GB2312" w:hAnsi="Calibri" w:cs="黑体" w:hint="eastAsia"/>
          <w:sz w:val="32"/>
          <w:szCs w:val="32"/>
        </w:rPr>
        <w:t>到</w:t>
      </w:r>
      <w:r>
        <w:rPr>
          <w:rFonts w:ascii="仿宋_GB2312" w:eastAsia="仿宋_GB2312" w:hAnsi="Calibri" w:cs="黑体" w:hint="eastAsia"/>
          <w:sz w:val="32"/>
          <w:szCs w:val="32"/>
        </w:rPr>
        <w:t>2025</w:t>
      </w:r>
      <w:r>
        <w:rPr>
          <w:rFonts w:ascii="仿宋_GB2312" w:eastAsia="仿宋_GB2312" w:hAnsi="Calibri" w:cs="黑体" w:hint="eastAsia"/>
          <w:sz w:val="32"/>
          <w:szCs w:val="32"/>
        </w:rPr>
        <w:t>年，建设可持续发展、服务质量高效的卫生健康体系，更好地满足国家、社会、家庭和个人对健康的需求，实现充分的、平衡的、可持续的卫生与健康事业发展。</w:t>
      </w:r>
    </w:p>
    <w:p w:rsidR="00D70FB0" w:rsidRDefault="00EE7950">
      <w:pPr>
        <w:spacing w:line="560" w:lineRule="exact"/>
        <w:ind w:firstLineChars="200" w:firstLine="643"/>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——城乡居民主要健康水平进一步改善。</w:t>
      </w:r>
      <w:r>
        <w:rPr>
          <w:rFonts w:ascii="仿宋_GB2312" w:eastAsia="仿宋_GB2312" w:hAnsi="仿宋_GB2312" w:cs="仿宋_GB2312" w:hint="eastAsia"/>
          <w:bCs/>
          <w:color w:val="000000" w:themeColor="text1"/>
          <w:sz w:val="32"/>
          <w:szCs w:val="32"/>
        </w:rPr>
        <w:t>人均预期寿命接近</w:t>
      </w:r>
      <w:r>
        <w:rPr>
          <w:rFonts w:ascii="仿宋_GB2312" w:eastAsia="仿宋_GB2312" w:hAnsi="仿宋_GB2312" w:cs="仿宋_GB2312" w:hint="eastAsia"/>
          <w:bCs/>
          <w:color w:val="000000" w:themeColor="text1"/>
          <w:sz w:val="32"/>
          <w:szCs w:val="32"/>
        </w:rPr>
        <w:t>81</w:t>
      </w:r>
      <w:r>
        <w:rPr>
          <w:rFonts w:ascii="仿宋_GB2312" w:eastAsia="仿宋_GB2312" w:hAnsi="仿宋_GB2312" w:cs="仿宋_GB2312" w:hint="eastAsia"/>
          <w:bCs/>
          <w:color w:val="000000" w:themeColor="text1"/>
          <w:sz w:val="32"/>
          <w:szCs w:val="32"/>
        </w:rPr>
        <w:t>岁，孕产妇死亡率、婴儿死亡率保持较好控制水平。</w:t>
      </w:r>
    </w:p>
    <w:p w:rsidR="00D70FB0" w:rsidRDefault="00EE7950">
      <w:pPr>
        <w:spacing w:line="560" w:lineRule="exact"/>
        <w:ind w:firstLineChars="200" w:firstLine="643"/>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——制度体系更加成熟定型。</w:t>
      </w:r>
      <w:r>
        <w:rPr>
          <w:rFonts w:ascii="仿宋_GB2312" w:eastAsia="仿宋_GB2312" w:hAnsi="仿宋_GB2312" w:cs="仿宋_GB2312" w:hint="eastAsia"/>
          <w:bCs/>
          <w:color w:val="000000" w:themeColor="text1"/>
          <w:sz w:val="32"/>
          <w:szCs w:val="32"/>
        </w:rPr>
        <w:t>具有开平特色的基本医疗卫生制度进一步完善、定型，治理体系和治理能力现代化水平不断提升，健康融入所有政策取得积极进展。</w:t>
      </w:r>
    </w:p>
    <w:p w:rsidR="00D70FB0" w:rsidRDefault="00EE7950">
      <w:pPr>
        <w:spacing w:line="560" w:lineRule="exact"/>
        <w:ind w:firstLineChars="200" w:firstLine="643"/>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——公共卫生安全保障能力显著增强。</w:t>
      </w:r>
      <w:r>
        <w:rPr>
          <w:rFonts w:ascii="仿宋_GB2312" w:eastAsia="仿宋_GB2312" w:hAnsi="仿宋_GB2312" w:cs="仿宋_GB2312" w:hint="eastAsia"/>
          <w:bCs/>
          <w:color w:val="000000" w:themeColor="text1"/>
          <w:sz w:val="32"/>
          <w:szCs w:val="32"/>
        </w:rPr>
        <w:t>疾病预防控制体</w:t>
      </w:r>
      <w:r>
        <w:rPr>
          <w:rFonts w:ascii="仿宋_GB2312" w:eastAsia="仿宋_GB2312" w:hAnsi="仿宋_GB2312" w:cs="仿宋_GB2312" w:hint="eastAsia"/>
          <w:bCs/>
          <w:color w:val="000000" w:themeColor="text1"/>
          <w:sz w:val="32"/>
          <w:szCs w:val="32"/>
        </w:rPr>
        <w:lastRenderedPageBreak/>
        <w:t>系明显改善，应对突发重大公共卫生事件的能力和水平不断提升。影响健康的危险因素得到积极治理，全民健康素养水平稳步提高。</w:t>
      </w:r>
    </w:p>
    <w:p w:rsidR="00D70FB0" w:rsidRDefault="00EE7950">
      <w:pPr>
        <w:spacing w:line="560" w:lineRule="exact"/>
        <w:ind w:firstLineChars="200" w:firstLine="643"/>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——健康服务水平和质量大幅提升。</w:t>
      </w:r>
      <w:r>
        <w:rPr>
          <w:rFonts w:ascii="仿宋_GB2312" w:eastAsia="仿宋_GB2312" w:hAnsi="仿宋_GB2312" w:cs="仿宋_GB2312" w:hint="eastAsia"/>
          <w:bCs/>
          <w:color w:val="000000" w:themeColor="text1"/>
          <w:sz w:val="32"/>
          <w:szCs w:val="32"/>
        </w:rPr>
        <w:t>优质医疗资源供给持续扩容、区域布局更加均衡合理。健康服务模式实现转型升级，覆盖全生命周期、内涵丰富、结构合理的健康供给体系基本建立，健康保障体系进一步完善，全市人民群众就近享有</w:t>
      </w:r>
      <w:proofErr w:type="gramStart"/>
      <w:r>
        <w:rPr>
          <w:rFonts w:ascii="仿宋_GB2312" w:eastAsia="仿宋_GB2312" w:hAnsi="仿宋_GB2312" w:cs="仿宋_GB2312" w:hint="eastAsia"/>
          <w:bCs/>
          <w:color w:val="000000" w:themeColor="text1"/>
          <w:sz w:val="32"/>
          <w:szCs w:val="32"/>
        </w:rPr>
        <w:t>公平可</w:t>
      </w:r>
      <w:proofErr w:type="gramEnd"/>
      <w:r>
        <w:rPr>
          <w:rFonts w:ascii="仿宋_GB2312" w:eastAsia="仿宋_GB2312" w:hAnsi="仿宋_GB2312" w:cs="仿宋_GB2312" w:hint="eastAsia"/>
          <w:bCs/>
          <w:color w:val="000000" w:themeColor="text1"/>
          <w:sz w:val="32"/>
          <w:szCs w:val="32"/>
        </w:rPr>
        <w:t>及、系统连续的</w:t>
      </w:r>
      <w:r>
        <w:rPr>
          <w:rFonts w:ascii="仿宋_GB2312" w:eastAsia="仿宋_GB2312" w:hAnsi="仿宋_GB2312" w:cs="仿宋_GB2312" w:hint="eastAsia"/>
          <w:bCs/>
          <w:color w:val="000000" w:themeColor="text1"/>
          <w:sz w:val="32"/>
          <w:szCs w:val="32"/>
        </w:rPr>
        <w:t>预防、治疗、康复等健康服务。</w:t>
      </w:r>
    </w:p>
    <w:p w:rsidR="00D70FB0" w:rsidRDefault="00EE7950">
      <w:pPr>
        <w:spacing w:line="560" w:lineRule="exact"/>
        <w:ind w:firstLineChars="200" w:firstLine="643"/>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——健康科技创新能力明显增强。</w:t>
      </w:r>
      <w:r>
        <w:rPr>
          <w:rFonts w:ascii="仿宋_GB2312" w:eastAsia="仿宋_GB2312" w:hAnsi="仿宋_GB2312" w:cs="仿宋_GB2312" w:hint="eastAsia"/>
          <w:bCs/>
          <w:color w:val="000000" w:themeColor="text1"/>
          <w:sz w:val="32"/>
          <w:szCs w:val="32"/>
        </w:rPr>
        <w:t>卫生与健康科技创新体系更加完备，创新能力得到提升，对保障人民健康和促进健康开平建设中的引领支撑作用更加突出。</w:t>
      </w:r>
    </w:p>
    <w:p w:rsidR="00D70FB0" w:rsidRDefault="00EE7950">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——健康产业发展环境更加优越。</w:t>
      </w:r>
      <w:r>
        <w:rPr>
          <w:rFonts w:ascii="仿宋_GB2312" w:eastAsia="仿宋_GB2312" w:hAnsi="仿宋_GB2312" w:cs="仿宋_GB2312" w:hint="eastAsia"/>
          <w:bCs/>
          <w:color w:val="000000" w:themeColor="text1"/>
          <w:sz w:val="32"/>
          <w:szCs w:val="32"/>
        </w:rPr>
        <w:t>建立起功能完善、结构合理的健康产业体系。“放管服”改革进一步深化，在政策、技术、人文等方面营造更加宽松的健康产业发展空间。</w:t>
      </w:r>
    </w:p>
    <w:p w:rsidR="00D70FB0" w:rsidRDefault="00EE7950" w:rsidP="00D10D7D">
      <w:pPr>
        <w:spacing w:afterLines="50" w:after="156" w:line="580" w:lineRule="exact"/>
        <w:jc w:val="center"/>
        <w:rPr>
          <w:rFonts w:ascii="黑体" w:eastAsia="黑体" w:hAnsi="黑体" w:cs="黑体"/>
          <w:sz w:val="32"/>
          <w:szCs w:val="32"/>
        </w:rPr>
      </w:pPr>
      <w:r>
        <w:rPr>
          <w:rFonts w:ascii="黑体" w:eastAsia="黑体" w:hAnsi="黑体" w:cs="黑体" w:hint="eastAsia"/>
          <w:sz w:val="32"/>
          <w:szCs w:val="32"/>
        </w:rPr>
        <w:t>“十四五”规划主要工作指标</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630"/>
        <w:gridCol w:w="2625"/>
        <w:gridCol w:w="885"/>
        <w:gridCol w:w="1035"/>
        <w:gridCol w:w="975"/>
        <w:gridCol w:w="1111"/>
        <w:gridCol w:w="1026"/>
      </w:tblGrid>
      <w:tr w:rsidR="00D70FB0">
        <w:trPr>
          <w:trHeight w:val="528"/>
          <w:tblHeader/>
          <w:jc w:val="center"/>
        </w:trPr>
        <w:tc>
          <w:tcPr>
            <w:tcW w:w="722"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领域</w:t>
            </w:r>
          </w:p>
        </w:tc>
        <w:tc>
          <w:tcPr>
            <w:tcW w:w="630"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序号</w:t>
            </w:r>
          </w:p>
        </w:tc>
        <w:tc>
          <w:tcPr>
            <w:tcW w:w="2625"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主要指标</w:t>
            </w:r>
          </w:p>
        </w:tc>
        <w:tc>
          <w:tcPr>
            <w:tcW w:w="885"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单位</w:t>
            </w:r>
          </w:p>
        </w:tc>
        <w:tc>
          <w:tcPr>
            <w:tcW w:w="1035"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2020</w:t>
            </w:r>
            <w:r>
              <w:rPr>
                <w:rFonts w:ascii="仿宋_GB2312" w:eastAsia="仿宋_GB2312" w:hAnsi="仿宋_GB2312" w:cs="仿宋_GB2312" w:hint="eastAsia"/>
                <w:b/>
                <w:color w:val="000000" w:themeColor="text1"/>
                <w:sz w:val="24"/>
              </w:rPr>
              <w:t>年</w:t>
            </w:r>
          </w:p>
        </w:tc>
        <w:tc>
          <w:tcPr>
            <w:tcW w:w="975"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2023</w:t>
            </w:r>
            <w:r>
              <w:rPr>
                <w:rFonts w:ascii="仿宋_GB2312" w:eastAsia="仿宋_GB2312" w:hAnsi="仿宋_GB2312" w:cs="仿宋_GB2312" w:hint="eastAsia"/>
                <w:b/>
                <w:color w:val="000000" w:themeColor="text1"/>
                <w:sz w:val="24"/>
              </w:rPr>
              <w:t>年</w:t>
            </w:r>
          </w:p>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目标</w:t>
            </w:r>
          </w:p>
        </w:tc>
        <w:tc>
          <w:tcPr>
            <w:tcW w:w="1111"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2025</w:t>
            </w:r>
            <w:r>
              <w:rPr>
                <w:rFonts w:ascii="仿宋_GB2312" w:eastAsia="仿宋_GB2312" w:hAnsi="仿宋_GB2312" w:cs="仿宋_GB2312" w:hint="eastAsia"/>
                <w:b/>
                <w:color w:val="000000" w:themeColor="text1"/>
                <w:sz w:val="24"/>
              </w:rPr>
              <w:t>年</w:t>
            </w:r>
          </w:p>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目标</w:t>
            </w:r>
          </w:p>
        </w:tc>
        <w:tc>
          <w:tcPr>
            <w:tcW w:w="1026" w:type="dxa"/>
            <w:vAlign w:val="center"/>
          </w:tcPr>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指标</w:t>
            </w:r>
          </w:p>
          <w:p w:rsidR="00D70FB0" w:rsidRDefault="00EE7950">
            <w:pPr>
              <w:spacing w:line="288" w:lineRule="auto"/>
              <w:jc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性质</w:t>
            </w:r>
          </w:p>
        </w:tc>
      </w:tr>
      <w:tr w:rsidR="00D70FB0">
        <w:trPr>
          <w:jc w:val="center"/>
        </w:trPr>
        <w:tc>
          <w:tcPr>
            <w:tcW w:w="722" w:type="dxa"/>
            <w:vMerge w:val="restart"/>
            <w:vAlign w:val="center"/>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健康水平</w:t>
            </w: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人均预期寿命</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岁</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80.60</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80.7</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80.7</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proofErr w:type="gramStart"/>
            <w:r>
              <w:rPr>
                <w:rFonts w:ascii="仿宋_GB2312" w:eastAsia="仿宋_GB2312" w:hAnsi="仿宋_GB2312" w:cs="仿宋_GB2312" w:hint="eastAsia"/>
                <w:color w:val="000000" w:themeColor="text1"/>
                <w:sz w:val="24"/>
              </w:rPr>
              <w:t>孕</w:t>
            </w:r>
            <w:proofErr w:type="gramEnd"/>
            <w:r>
              <w:rPr>
                <w:rFonts w:ascii="仿宋_GB2312" w:eastAsia="仿宋_GB2312" w:hAnsi="仿宋_GB2312" w:cs="仿宋_GB2312" w:hint="eastAsia"/>
                <w:color w:val="000000" w:themeColor="text1"/>
                <w:sz w:val="24"/>
              </w:rPr>
              <w:t>产妇死亡率</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/10</w:t>
            </w:r>
            <w:r>
              <w:rPr>
                <w:rFonts w:ascii="仿宋_GB2312" w:eastAsia="仿宋_GB2312" w:hAnsi="仿宋_GB2312" w:cs="仿宋_GB2312" w:hint="eastAsia"/>
                <w:color w:val="000000" w:themeColor="text1"/>
                <w:sz w:val="24"/>
              </w:rPr>
              <w:t>万</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18.71</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&lt;10</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&lt;</w:t>
            </w:r>
            <w:r>
              <w:rPr>
                <w:rFonts w:ascii="仿宋_GB2312" w:eastAsia="仿宋_GB2312" w:hAnsi="仿宋_GB2312" w:cs="仿宋_GB2312" w:hint="eastAsia"/>
                <w:color w:val="000000" w:themeColor="text1"/>
                <w:sz w:val="24"/>
              </w:rPr>
              <w:t>10</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婴儿死亡率</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1.5</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&lt;3</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&lt;</w:t>
            </w:r>
            <w:r>
              <w:rPr>
                <w:rFonts w:ascii="仿宋_GB2312" w:eastAsia="仿宋_GB2312" w:hAnsi="仿宋_GB2312" w:cs="仿宋_GB2312" w:hint="eastAsia"/>
                <w:color w:val="000000" w:themeColor="text1"/>
                <w:sz w:val="24"/>
              </w:rPr>
              <w:t>3</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trHeight w:val="90"/>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岁以下儿童死亡率</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1.5</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&lt;5</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&lt;</w:t>
            </w:r>
            <w:r>
              <w:rPr>
                <w:rFonts w:ascii="仿宋_GB2312" w:eastAsia="仿宋_GB2312" w:hAnsi="仿宋_GB2312" w:cs="仿宋_GB2312" w:hint="eastAsia"/>
                <w:color w:val="000000" w:themeColor="text1"/>
                <w:sz w:val="24"/>
              </w:rPr>
              <w:t>5</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5</w:t>
            </w:r>
          </w:p>
        </w:tc>
        <w:tc>
          <w:tcPr>
            <w:tcW w:w="2625" w:type="dxa"/>
            <w:vAlign w:val="center"/>
          </w:tcPr>
          <w:p w:rsidR="00D70FB0" w:rsidRDefault="00EE7950">
            <w:pPr>
              <w:widowControl/>
              <w:spacing w:line="200" w:lineRule="atLeas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重大慢性病过早死亡率</w:t>
            </w:r>
          </w:p>
        </w:tc>
        <w:tc>
          <w:tcPr>
            <w:tcW w:w="885"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12.85</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11.6</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sz w:val="24"/>
              </w:rPr>
              <w:t>11.15</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restart"/>
            <w:vAlign w:val="center"/>
          </w:tcPr>
          <w:p w:rsidR="00D70FB0" w:rsidRDefault="00EE7950">
            <w:pPr>
              <w:widowControl/>
              <w:spacing w:line="200" w:lineRule="atLeast"/>
              <w:textAlignment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健康</w:t>
            </w:r>
          </w:p>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生活</w:t>
            </w: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p>
        </w:tc>
        <w:tc>
          <w:tcPr>
            <w:tcW w:w="2625" w:type="dxa"/>
            <w:vAlign w:val="center"/>
          </w:tcPr>
          <w:p w:rsidR="00D70FB0" w:rsidRDefault="00EE7950">
            <w:pPr>
              <w:spacing w:line="288"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居民健康素养水平</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27.37</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28.5</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30</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7</w:t>
            </w:r>
          </w:p>
        </w:tc>
        <w:tc>
          <w:tcPr>
            <w:tcW w:w="2625" w:type="dxa"/>
            <w:vAlign w:val="center"/>
          </w:tcPr>
          <w:p w:rsidR="00D70FB0" w:rsidRDefault="00EE7950">
            <w:pPr>
              <w:widowControl/>
              <w:spacing w:line="200" w:lineRule="atLeas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15</w:t>
            </w:r>
            <w:r>
              <w:rPr>
                <w:rFonts w:ascii="仿宋_GB2312" w:eastAsia="仿宋_GB2312" w:hAnsi="仿宋_GB2312" w:cs="仿宋_GB2312" w:hint="eastAsia"/>
                <w:color w:val="000000" w:themeColor="text1"/>
                <w:kern w:val="0"/>
                <w:sz w:val="24"/>
              </w:rPr>
              <w:t>岁以上人群吸烟率</w:t>
            </w:r>
          </w:p>
        </w:tc>
        <w:tc>
          <w:tcPr>
            <w:tcW w:w="885" w:type="dxa"/>
            <w:vAlign w:val="center"/>
          </w:tcPr>
          <w:p w:rsidR="00D70FB0" w:rsidRDefault="00EE7950">
            <w:pPr>
              <w:widowControl/>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23.75</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kern w:val="0"/>
                <w:sz w:val="24"/>
              </w:rPr>
              <w:t>&lt;2</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.4</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&lt;2</w:t>
            </w:r>
            <w:r>
              <w:rPr>
                <w:rFonts w:ascii="仿宋_GB2312" w:eastAsia="仿宋_GB2312" w:hAnsi="仿宋_GB2312" w:cs="仿宋_GB2312" w:hint="eastAsia"/>
                <w:color w:val="000000" w:themeColor="text1"/>
                <w:sz w:val="24"/>
              </w:rPr>
              <w:t>3</w:t>
            </w:r>
          </w:p>
        </w:tc>
        <w:tc>
          <w:tcPr>
            <w:tcW w:w="1026"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预期性</w:t>
            </w:r>
          </w:p>
        </w:tc>
      </w:tr>
      <w:tr w:rsidR="00D70FB0">
        <w:trPr>
          <w:trHeight w:val="90"/>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w:t>
            </w:r>
          </w:p>
        </w:tc>
        <w:tc>
          <w:tcPr>
            <w:tcW w:w="2625" w:type="dxa"/>
            <w:vAlign w:val="center"/>
          </w:tcPr>
          <w:p w:rsidR="00D70FB0" w:rsidRDefault="00EE7950">
            <w:pPr>
              <w:widowControl/>
              <w:spacing w:line="200" w:lineRule="atLeas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千人口献血率</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11.3</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r>
              <w:rPr>
                <w:rFonts w:ascii="仿宋_GB2312" w:eastAsia="仿宋_GB2312" w:hAnsi="仿宋_GB2312" w:cs="仿宋_GB2312" w:hint="eastAsia"/>
                <w:color w:val="000000" w:themeColor="text1"/>
                <w:sz w:val="24"/>
              </w:rPr>
              <w:t>11.5</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r>
              <w:rPr>
                <w:rFonts w:ascii="仿宋_GB2312" w:eastAsia="仿宋_GB2312" w:hAnsi="仿宋_GB2312" w:cs="仿宋_GB2312" w:hint="eastAsia"/>
                <w:color w:val="000000" w:themeColor="text1"/>
                <w:sz w:val="24"/>
              </w:rPr>
              <w:t>11.66</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trHeight w:val="483"/>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9</w:t>
            </w:r>
          </w:p>
        </w:tc>
        <w:tc>
          <w:tcPr>
            <w:tcW w:w="262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国家卫生城市数量占比</w:t>
            </w:r>
          </w:p>
        </w:tc>
        <w:tc>
          <w:tcPr>
            <w:tcW w:w="885" w:type="dxa"/>
            <w:vAlign w:val="center"/>
          </w:tcPr>
          <w:p w:rsidR="00D70FB0" w:rsidRDefault="00EE7950">
            <w:pPr>
              <w:widowControl/>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20</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持续</w:t>
            </w:r>
          </w:p>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提升</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持续</w:t>
            </w:r>
          </w:p>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提升</w:t>
            </w:r>
          </w:p>
        </w:tc>
        <w:tc>
          <w:tcPr>
            <w:tcW w:w="1026"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预期性</w:t>
            </w:r>
          </w:p>
        </w:tc>
      </w:tr>
      <w:tr w:rsidR="00D70FB0">
        <w:trPr>
          <w:jc w:val="center"/>
        </w:trPr>
        <w:tc>
          <w:tcPr>
            <w:tcW w:w="722" w:type="dxa"/>
            <w:vMerge w:val="restart"/>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健康服务</w:t>
            </w: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10</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每千人口拥有医疗卫生机构床位数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张</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4.96</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5.34</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5.72</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Merge w:val="restart"/>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11</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每千人口</w:t>
            </w:r>
            <w:r>
              <w:rPr>
                <w:rFonts w:ascii="仿宋_GB2312" w:eastAsia="仿宋_GB2312" w:hAnsi="仿宋_GB2312" w:cs="仿宋_GB2312" w:hint="eastAsia"/>
                <w:color w:val="000000" w:themeColor="text1"/>
                <w:kern w:val="0"/>
                <w:sz w:val="24"/>
              </w:rPr>
              <w:t>拥有</w:t>
            </w:r>
            <w:r>
              <w:rPr>
                <w:rFonts w:ascii="仿宋_GB2312" w:eastAsia="仿宋_GB2312" w:hAnsi="仿宋_GB2312" w:cs="仿宋_GB2312" w:hint="eastAsia"/>
                <w:color w:val="000000" w:themeColor="text1"/>
                <w:sz w:val="24"/>
              </w:rPr>
              <w:t>执业（助理）医师数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1.92</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2.12</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2.47</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Merge/>
            <w:vAlign w:val="center"/>
          </w:tcPr>
          <w:p w:rsidR="00D70FB0" w:rsidRDefault="00D70FB0">
            <w:pPr>
              <w:spacing w:line="288" w:lineRule="auto"/>
              <w:jc w:val="center"/>
              <w:rPr>
                <w:rFonts w:ascii="仿宋_GB2312" w:eastAsia="仿宋_GB2312" w:hAnsi="仿宋_GB2312" w:cs="仿宋_GB2312"/>
                <w:color w:val="000000" w:themeColor="text1"/>
                <w:sz w:val="24"/>
              </w:rPr>
            </w:pP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其中：每千人口</w:t>
            </w:r>
            <w:r>
              <w:rPr>
                <w:rFonts w:ascii="仿宋_GB2312" w:eastAsia="仿宋_GB2312" w:hAnsi="仿宋_GB2312" w:cs="仿宋_GB2312" w:hint="eastAsia"/>
                <w:color w:val="000000" w:themeColor="text1"/>
                <w:kern w:val="0"/>
                <w:sz w:val="24"/>
              </w:rPr>
              <w:t>拥有</w:t>
            </w:r>
            <w:r>
              <w:rPr>
                <w:rFonts w:ascii="仿宋_GB2312" w:eastAsia="仿宋_GB2312" w:hAnsi="仿宋_GB2312" w:cs="仿宋_GB2312" w:hint="eastAsia"/>
                <w:color w:val="000000" w:themeColor="text1"/>
                <w:sz w:val="24"/>
              </w:rPr>
              <w:t>中医类别执业（助理）医师数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0.34</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0.38</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0.49</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每千人口</w:t>
            </w:r>
            <w:r>
              <w:rPr>
                <w:rFonts w:ascii="仿宋_GB2312" w:eastAsia="仿宋_GB2312" w:hAnsi="仿宋_GB2312" w:cs="仿宋_GB2312" w:hint="eastAsia"/>
                <w:color w:val="000000" w:themeColor="text1"/>
                <w:kern w:val="0"/>
                <w:sz w:val="24"/>
              </w:rPr>
              <w:t>拥有</w:t>
            </w:r>
            <w:r>
              <w:rPr>
                <w:rFonts w:ascii="仿宋_GB2312" w:eastAsia="仿宋_GB2312" w:hAnsi="仿宋_GB2312" w:cs="仿宋_GB2312" w:hint="eastAsia"/>
                <w:color w:val="000000" w:themeColor="text1"/>
                <w:sz w:val="24"/>
              </w:rPr>
              <w:t>注册护士数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2.93</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3.16</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3.43</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13</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每千人口</w:t>
            </w:r>
            <w:r>
              <w:rPr>
                <w:rFonts w:ascii="仿宋_GB2312" w:eastAsia="仿宋_GB2312" w:hAnsi="仿宋_GB2312" w:cs="仿宋_GB2312" w:hint="eastAsia"/>
                <w:color w:val="000000" w:themeColor="text1"/>
                <w:kern w:val="0"/>
                <w:sz w:val="24"/>
              </w:rPr>
              <w:t>拥有</w:t>
            </w:r>
            <w:r>
              <w:rPr>
                <w:rFonts w:ascii="仿宋_GB2312" w:eastAsia="仿宋_GB2312" w:hAnsi="仿宋_GB2312" w:cs="仿宋_GB2312" w:hint="eastAsia"/>
                <w:color w:val="000000" w:themeColor="text1"/>
                <w:sz w:val="24"/>
              </w:rPr>
              <w:t>药师（士）数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0.42</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0.47</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0.52</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14</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每万人口</w:t>
            </w:r>
            <w:r>
              <w:rPr>
                <w:rFonts w:ascii="仿宋_GB2312" w:eastAsia="仿宋_GB2312" w:hAnsi="仿宋_GB2312" w:cs="仿宋_GB2312" w:hint="eastAsia"/>
                <w:color w:val="000000" w:themeColor="text1"/>
                <w:kern w:val="0"/>
                <w:sz w:val="24"/>
              </w:rPr>
              <w:t>拥有</w:t>
            </w:r>
            <w:r>
              <w:rPr>
                <w:rFonts w:ascii="仿宋_GB2312" w:eastAsia="仿宋_GB2312" w:hAnsi="仿宋_GB2312" w:cs="仿宋_GB2312" w:hint="eastAsia"/>
                <w:color w:val="000000" w:themeColor="text1"/>
                <w:sz w:val="24"/>
              </w:rPr>
              <w:t>全科医生数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3.87</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3.9</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约束性</w:t>
            </w:r>
          </w:p>
        </w:tc>
      </w:tr>
      <w:tr w:rsidR="00D70FB0">
        <w:trPr>
          <w:trHeight w:val="453"/>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15</w:t>
            </w:r>
          </w:p>
        </w:tc>
        <w:tc>
          <w:tcPr>
            <w:tcW w:w="2625" w:type="dxa"/>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每千人口</w:t>
            </w:r>
            <w:r>
              <w:rPr>
                <w:rFonts w:ascii="仿宋_GB2312" w:eastAsia="仿宋_GB2312" w:hAnsi="仿宋_GB2312" w:cs="仿宋_GB2312" w:hint="eastAsia"/>
                <w:color w:val="000000" w:themeColor="text1"/>
                <w:kern w:val="0"/>
                <w:sz w:val="24"/>
              </w:rPr>
              <w:t>拥有</w:t>
            </w:r>
            <w:r>
              <w:rPr>
                <w:rFonts w:ascii="仿宋_GB2312" w:eastAsia="仿宋_GB2312" w:hAnsi="仿宋_GB2312" w:cs="仿宋_GB2312" w:hint="eastAsia"/>
                <w:color w:val="000000" w:themeColor="text1"/>
                <w:sz w:val="24"/>
              </w:rPr>
              <w:t>公共卫生人员数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人</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0.84</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0.95</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trHeight w:val="528"/>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16</w:t>
            </w:r>
          </w:p>
        </w:tc>
        <w:tc>
          <w:tcPr>
            <w:tcW w:w="2625" w:type="dxa"/>
            <w:vAlign w:val="center"/>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每千人口拥有</w:t>
            </w:r>
            <w:r>
              <w:rPr>
                <w:rFonts w:ascii="仿宋_GB2312" w:eastAsia="仿宋_GB2312" w:hAnsi="仿宋_GB2312" w:cs="仿宋_GB2312" w:hint="eastAsia"/>
                <w:color w:val="000000" w:themeColor="text1"/>
                <w:kern w:val="0"/>
                <w:sz w:val="24"/>
              </w:rPr>
              <w:t>3</w:t>
            </w:r>
            <w:r>
              <w:rPr>
                <w:rFonts w:ascii="仿宋_GB2312" w:eastAsia="仿宋_GB2312" w:hAnsi="仿宋_GB2312" w:cs="仿宋_GB2312" w:hint="eastAsia"/>
                <w:color w:val="000000" w:themeColor="text1"/>
                <w:kern w:val="0"/>
                <w:sz w:val="24"/>
              </w:rPr>
              <w:t>岁以下婴幼儿托位数</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proofErr w:type="gramStart"/>
            <w:r>
              <w:rPr>
                <w:rFonts w:ascii="仿宋_GB2312" w:eastAsia="仿宋_GB2312" w:hAnsi="仿宋_GB2312" w:cs="仿宋_GB2312" w:hint="eastAsia"/>
                <w:color w:val="000000" w:themeColor="text1"/>
                <w:sz w:val="24"/>
              </w:rPr>
              <w:t>个</w:t>
            </w:r>
            <w:proofErr w:type="gramEnd"/>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1.9</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17</w:t>
            </w:r>
          </w:p>
        </w:tc>
        <w:tc>
          <w:tcPr>
            <w:tcW w:w="2625" w:type="dxa"/>
            <w:vAlign w:val="center"/>
          </w:tcPr>
          <w:p w:rsidR="00D70FB0" w:rsidRDefault="00EE7950">
            <w:pPr>
              <w:spacing w:line="288"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全市儿童青少年总体近视率</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44.50</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51.8</w:t>
            </w:r>
          </w:p>
        </w:tc>
        <w:tc>
          <w:tcPr>
            <w:tcW w:w="1111" w:type="dxa"/>
            <w:vAlign w:val="center"/>
          </w:tcPr>
          <w:p w:rsidR="00D70FB0" w:rsidRDefault="00EE7950">
            <w:pPr>
              <w:spacing w:line="288" w:lineRule="auto"/>
              <w:rPr>
                <w:rFonts w:ascii="仿宋_GB2312" w:eastAsia="仿宋_GB2312" w:hAnsi="仿宋_GB2312" w:cs="仿宋_GB2312"/>
                <w:color w:val="000000" w:themeColor="text1"/>
                <w:w w:val="90"/>
                <w:sz w:val="24"/>
              </w:rPr>
            </w:pPr>
            <w:r>
              <w:rPr>
                <w:rFonts w:ascii="仿宋_GB2312" w:eastAsia="仿宋_GB2312" w:hAnsi="仿宋_GB2312" w:cs="仿宋_GB2312" w:hint="eastAsia"/>
                <w:color w:val="000000" w:themeColor="text1"/>
                <w:w w:val="90"/>
                <w:kern w:val="0"/>
                <w:sz w:val="24"/>
              </w:rPr>
              <w:t>力争每年降低</w:t>
            </w:r>
            <w:r>
              <w:rPr>
                <w:rFonts w:ascii="仿宋_GB2312" w:eastAsia="仿宋_GB2312" w:hAnsi="仿宋_GB2312" w:cs="仿宋_GB2312" w:hint="eastAsia"/>
                <w:color w:val="000000" w:themeColor="text1"/>
                <w:w w:val="90"/>
                <w:kern w:val="0"/>
                <w:sz w:val="24"/>
              </w:rPr>
              <w:t>0.5</w:t>
            </w:r>
            <w:r>
              <w:rPr>
                <w:rFonts w:ascii="仿宋_GB2312" w:eastAsia="仿宋_GB2312" w:hAnsi="仿宋_GB2312" w:cs="仿宋_GB2312" w:hint="eastAsia"/>
                <w:color w:val="000000" w:themeColor="text1"/>
                <w:w w:val="90"/>
                <w:kern w:val="0"/>
                <w:sz w:val="24"/>
              </w:rPr>
              <w:t>个百分点以上</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约束性</w:t>
            </w:r>
          </w:p>
        </w:tc>
      </w:tr>
      <w:tr w:rsidR="00D70FB0">
        <w:trPr>
          <w:jc w:val="center"/>
        </w:trPr>
        <w:tc>
          <w:tcPr>
            <w:tcW w:w="722" w:type="dxa"/>
            <w:vMerge w:val="restart"/>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18</w:t>
            </w:r>
          </w:p>
        </w:tc>
        <w:tc>
          <w:tcPr>
            <w:tcW w:w="2625" w:type="dxa"/>
            <w:vAlign w:val="center"/>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二级及以上综合性医院设置老年医学科的比例</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0</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r>
              <w:rPr>
                <w:rFonts w:ascii="仿宋_GB2312" w:eastAsia="仿宋_GB2312" w:hAnsi="仿宋_GB2312" w:cs="仿宋_GB2312"/>
                <w:color w:val="000000" w:themeColor="text1"/>
                <w:kern w:val="0"/>
                <w:sz w:val="24"/>
              </w:rPr>
              <w:t>2</w:t>
            </w:r>
            <w:r>
              <w:rPr>
                <w:rFonts w:ascii="仿宋_GB2312" w:eastAsia="仿宋_GB2312" w:hAnsi="仿宋_GB2312" w:cs="仿宋_GB2312" w:hint="eastAsia"/>
                <w:color w:val="000000" w:themeColor="text1"/>
                <w:sz w:val="24"/>
              </w:rPr>
              <w:t>5</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r>
              <w:rPr>
                <w:rFonts w:ascii="仿宋_GB2312" w:eastAsia="仿宋_GB2312" w:hAnsi="仿宋_GB2312" w:cs="仿宋_GB2312" w:hint="eastAsia"/>
                <w:color w:val="000000" w:themeColor="text1"/>
                <w:sz w:val="24"/>
              </w:rPr>
              <w:t>5</w:t>
            </w:r>
            <w:r>
              <w:rPr>
                <w:rFonts w:ascii="仿宋_GB2312" w:eastAsia="仿宋_GB2312" w:hAnsi="仿宋_GB2312" w:cs="仿宋_GB2312"/>
                <w:color w:val="000000" w:themeColor="text1"/>
                <w:sz w:val="24"/>
              </w:rPr>
              <w:t>0</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trHeight w:val="881"/>
          <w:jc w:val="center"/>
        </w:trPr>
        <w:tc>
          <w:tcPr>
            <w:tcW w:w="722" w:type="dxa"/>
            <w:vMerge/>
            <w:vAlign w:val="center"/>
          </w:tcPr>
          <w:p w:rsidR="00D70FB0" w:rsidRDefault="00D70FB0">
            <w:pPr>
              <w:spacing w:line="288" w:lineRule="auto"/>
              <w:jc w:val="left"/>
              <w:rPr>
                <w:rFonts w:ascii="仿宋_GB2312" w:eastAsia="仿宋_GB2312" w:hAnsi="仿宋_GB2312" w:cs="仿宋_GB2312"/>
                <w:color w:val="000000" w:themeColor="text1"/>
                <w:sz w:val="24"/>
              </w:rPr>
            </w:pPr>
          </w:p>
        </w:tc>
        <w:tc>
          <w:tcPr>
            <w:tcW w:w="630"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19</w:t>
            </w:r>
          </w:p>
        </w:tc>
        <w:tc>
          <w:tcPr>
            <w:tcW w:w="2625" w:type="dxa"/>
            <w:vAlign w:val="center"/>
          </w:tcPr>
          <w:p w:rsidR="00D70FB0" w:rsidRDefault="00EE7950">
            <w:pPr>
              <w:widowControl/>
              <w:spacing w:line="200" w:lineRule="atLeas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重点行业用人单位劳动者防噪音耳塞或耳罩正确佩戴率</w:t>
            </w:r>
          </w:p>
        </w:tc>
        <w:tc>
          <w:tcPr>
            <w:tcW w:w="885" w:type="dxa"/>
            <w:vAlign w:val="center"/>
          </w:tcPr>
          <w:p w:rsidR="00D70FB0" w:rsidRDefault="00EE7950">
            <w:pPr>
              <w:widowControl/>
              <w:spacing w:line="200" w:lineRule="atLeas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55</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65</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80</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预期性</w:t>
            </w:r>
          </w:p>
        </w:tc>
      </w:tr>
      <w:tr w:rsidR="00D70FB0">
        <w:trPr>
          <w:trHeight w:val="880"/>
          <w:jc w:val="center"/>
        </w:trPr>
        <w:tc>
          <w:tcPr>
            <w:tcW w:w="722" w:type="dxa"/>
            <w:vAlign w:val="center"/>
          </w:tcPr>
          <w:p w:rsidR="00D70FB0" w:rsidRDefault="00EE7950">
            <w:pPr>
              <w:spacing w:line="288" w:lineRule="auto"/>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健康保障</w:t>
            </w:r>
          </w:p>
        </w:tc>
        <w:tc>
          <w:tcPr>
            <w:tcW w:w="630"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20</w:t>
            </w:r>
          </w:p>
        </w:tc>
        <w:tc>
          <w:tcPr>
            <w:tcW w:w="2625" w:type="dxa"/>
            <w:vAlign w:val="center"/>
          </w:tcPr>
          <w:p w:rsidR="00D70FB0" w:rsidRDefault="00EE7950">
            <w:pPr>
              <w:spacing w:line="288"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个人卫生支出占卫生总费用的比重</w:t>
            </w:r>
          </w:p>
        </w:tc>
        <w:tc>
          <w:tcPr>
            <w:tcW w:w="88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03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31.98*</w:t>
            </w:r>
          </w:p>
        </w:tc>
        <w:tc>
          <w:tcPr>
            <w:tcW w:w="975"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29</w:t>
            </w:r>
          </w:p>
        </w:tc>
        <w:tc>
          <w:tcPr>
            <w:tcW w:w="1111"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26</w:t>
            </w:r>
          </w:p>
        </w:tc>
        <w:tc>
          <w:tcPr>
            <w:tcW w:w="1026" w:type="dxa"/>
            <w:vAlign w:val="center"/>
          </w:tcPr>
          <w:p w:rsidR="00D70FB0" w:rsidRDefault="00EE7950">
            <w:pPr>
              <w:spacing w:line="288"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kern w:val="0"/>
                <w:sz w:val="24"/>
              </w:rPr>
              <w:t>约束性</w:t>
            </w:r>
          </w:p>
        </w:tc>
      </w:tr>
    </w:tbl>
    <w:p w:rsidR="00D70FB0" w:rsidRDefault="00EE7950">
      <w:pPr>
        <w:spacing w:line="4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注：</w:t>
      </w: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表中</w:t>
      </w:r>
      <w:r>
        <w:rPr>
          <w:rFonts w:ascii="仿宋_GB2312" w:eastAsia="仿宋_GB2312" w:hAnsi="仿宋_GB2312" w:cs="仿宋_GB2312" w:hint="eastAsia"/>
          <w:color w:val="000000" w:themeColor="text1"/>
          <w:sz w:val="24"/>
        </w:rPr>
        <w:t>2020</w:t>
      </w:r>
      <w:r>
        <w:rPr>
          <w:rFonts w:ascii="仿宋_GB2312" w:eastAsia="仿宋_GB2312" w:hAnsi="仿宋_GB2312" w:cs="仿宋_GB2312" w:hint="eastAsia"/>
          <w:color w:val="000000" w:themeColor="text1"/>
          <w:sz w:val="24"/>
        </w:rPr>
        <w:t>年数据为最终数，其中标记</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为</w:t>
      </w:r>
      <w:r>
        <w:rPr>
          <w:rFonts w:ascii="仿宋_GB2312" w:eastAsia="仿宋_GB2312" w:hAnsi="仿宋_GB2312" w:cs="仿宋_GB2312" w:hint="eastAsia"/>
          <w:color w:val="000000" w:themeColor="text1"/>
          <w:sz w:val="24"/>
        </w:rPr>
        <w:t>2019</w:t>
      </w:r>
      <w:r>
        <w:rPr>
          <w:rFonts w:ascii="仿宋_GB2312" w:eastAsia="仿宋_GB2312" w:hAnsi="仿宋_GB2312" w:cs="仿宋_GB2312" w:hint="eastAsia"/>
          <w:color w:val="000000" w:themeColor="text1"/>
          <w:sz w:val="24"/>
        </w:rPr>
        <w:t>年数。</w:t>
      </w:r>
    </w:p>
    <w:p w:rsidR="00D70FB0" w:rsidRDefault="00EE7950">
      <w:pPr>
        <w:numPr>
          <w:ilvl w:val="0"/>
          <w:numId w:val="1"/>
        </w:numPr>
        <w:spacing w:after="156" w:line="4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涉及人口的</w:t>
      </w:r>
      <w:r>
        <w:rPr>
          <w:rFonts w:ascii="仿宋_GB2312" w:eastAsia="仿宋_GB2312" w:hAnsi="仿宋_GB2312" w:cs="仿宋_GB2312" w:hint="eastAsia"/>
          <w:color w:val="000000" w:themeColor="text1"/>
          <w:sz w:val="24"/>
        </w:rPr>
        <w:t>2020</w:t>
      </w:r>
      <w:r>
        <w:rPr>
          <w:rFonts w:ascii="仿宋_GB2312" w:eastAsia="仿宋_GB2312" w:hAnsi="仿宋_GB2312" w:cs="仿宋_GB2312" w:hint="eastAsia"/>
          <w:color w:val="000000" w:themeColor="text1"/>
          <w:sz w:val="24"/>
        </w:rPr>
        <w:t>年数据，如每千人口拥有医疗卫生机构床位数等，均采用《江门市第七次全国人口普查公报》公布常住总人口数计算。</w:t>
      </w:r>
    </w:p>
    <w:p w:rsidR="00D70FB0" w:rsidRDefault="00EE7950">
      <w:pPr>
        <w:pStyle w:val="1"/>
        <w:spacing w:line="600" w:lineRule="exact"/>
        <w:ind w:leftChars="0" w:left="0" w:rightChars="0" w:right="0" w:firstLineChars="200" w:firstLine="643"/>
        <w:jc w:val="left"/>
        <w:rPr>
          <w:rFonts w:ascii="Calibri" w:eastAsia="黑体" w:hAnsi="Calibri" w:cs="黑体"/>
          <w:bCs w:val="0"/>
          <w:sz w:val="32"/>
          <w:szCs w:val="22"/>
        </w:rPr>
      </w:pPr>
      <w:bookmarkStart w:id="33" w:name="_Toc1786"/>
      <w:bookmarkStart w:id="34" w:name="_Toc30318"/>
      <w:bookmarkStart w:id="35" w:name="_Toc6354"/>
      <w:bookmarkStart w:id="36" w:name="_Toc16339"/>
      <w:bookmarkStart w:id="37" w:name="_Toc4694"/>
      <w:bookmarkStart w:id="38" w:name="_Toc26963"/>
      <w:bookmarkStart w:id="39" w:name="_Toc23483"/>
      <w:bookmarkStart w:id="40" w:name="_Toc27403"/>
      <w:bookmarkStart w:id="41" w:name="_Toc6062"/>
      <w:bookmarkStart w:id="42" w:name="_Toc84804941"/>
      <w:bookmarkStart w:id="43" w:name="_Toc27956"/>
      <w:r>
        <w:rPr>
          <w:rFonts w:ascii="Calibri" w:eastAsia="黑体" w:hAnsi="Calibri" w:cs="黑体" w:hint="eastAsia"/>
          <w:bCs w:val="0"/>
          <w:sz w:val="32"/>
          <w:szCs w:val="22"/>
        </w:rPr>
        <w:lastRenderedPageBreak/>
        <w:t>三、主要任务</w:t>
      </w:r>
      <w:bookmarkEnd w:id="33"/>
      <w:bookmarkEnd w:id="34"/>
      <w:bookmarkEnd w:id="35"/>
      <w:bookmarkEnd w:id="36"/>
      <w:bookmarkEnd w:id="37"/>
      <w:bookmarkEnd w:id="38"/>
      <w:bookmarkEnd w:id="39"/>
      <w:bookmarkEnd w:id="40"/>
      <w:bookmarkEnd w:id="41"/>
      <w:bookmarkEnd w:id="42"/>
      <w:bookmarkEnd w:id="43"/>
    </w:p>
    <w:p w:rsidR="00D70FB0" w:rsidRDefault="00EE7950">
      <w:pPr>
        <w:pStyle w:val="2"/>
        <w:adjustRightInd w:val="0"/>
        <w:snapToGrid w:val="0"/>
        <w:spacing w:before="0" w:after="0" w:line="560" w:lineRule="exact"/>
        <w:ind w:firstLineChars="131" w:firstLine="421"/>
        <w:rPr>
          <w:rFonts w:eastAsia="楷体" w:cs="黑体"/>
          <w:szCs w:val="22"/>
        </w:rPr>
      </w:pPr>
      <w:bookmarkStart w:id="44" w:name="_Toc1128"/>
      <w:bookmarkStart w:id="45" w:name="_Toc27181"/>
      <w:bookmarkStart w:id="46" w:name="_Toc31884"/>
      <w:bookmarkStart w:id="47" w:name="_Toc12930"/>
      <w:bookmarkStart w:id="48" w:name="_Toc23567"/>
      <w:bookmarkStart w:id="49" w:name="_Toc13763"/>
      <w:bookmarkStart w:id="50" w:name="_Toc16781"/>
      <w:bookmarkStart w:id="51" w:name="_Toc10839"/>
      <w:bookmarkStart w:id="52" w:name="_Toc7320"/>
      <w:bookmarkStart w:id="53" w:name="_Toc25235"/>
      <w:bookmarkStart w:id="54" w:name="_Toc14628"/>
      <w:bookmarkStart w:id="55" w:name="_Toc13447"/>
      <w:bookmarkStart w:id="56" w:name="_Toc84804942"/>
      <w:bookmarkStart w:id="57" w:name="_Toc8799"/>
      <w:bookmarkStart w:id="58" w:name="_Toc65153903"/>
      <w:bookmarkStart w:id="59" w:name="_Toc30835"/>
      <w:bookmarkStart w:id="60" w:name="_Toc28704"/>
      <w:r>
        <w:rPr>
          <w:rFonts w:eastAsia="楷体" w:cs="黑体" w:hint="eastAsia"/>
          <w:szCs w:val="22"/>
        </w:rPr>
        <w:t>（一）构建强大公共卫生体系</w:t>
      </w:r>
      <w:bookmarkStart w:id="61" w:name="_Toc27164"/>
      <w:bookmarkStart w:id="62" w:name="_Toc5034"/>
      <w:bookmarkStart w:id="63" w:name="_Toc13485"/>
      <w:bookmarkStart w:id="64" w:name="_Toc26064"/>
      <w:bookmarkStart w:id="65" w:name="_Toc21432"/>
      <w:bookmarkStart w:id="66" w:name="_Toc540"/>
      <w:bookmarkStart w:id="67" w:name="_Toc1720"/>
      <w:bookmarkStart w:id="68" w:name="_Toc975"/>
      <w:bookmarkStart w:id="69" w:name="_Toc65153904"/>
      <w:bookmarkStart w:id="70" w:name="_Toc3985"/>
      <w:bookmarkStart w:id="71" w:name="_Toc22038"/>
      <w:bookmarkStart w:id="72" w:name="_Toc29207"/>
      <w:bookmarkStart w:id="73" w:name="_Toc27240"/>
      <w:bookmarkStart w:id="74" w:name="_Toc19131"/>
      <w:bookmarkStart w:id="75" w:name="_Toc1397"/>
      <w:bookmarkStart w:id="76" w:name="_Toc26346"/>
      <w:bookmarkStart w:id="77" w:name="_Toc3241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D70FB0" w:rsidRDefault="00EE7950">
      <w:pPr>
        <w:pStyle w:val="2"/>
        <w:adjustRightInd w:val="0"/>
        <w:snapToGrid w:val="0"/>
        <w:spacing w:before="0" w:after="0" w:line="560" w:lineRule="exact"/>
        <w:ind w:firstLineChars="131" w:firstLine="421"/>
        <w:rPr>
          <w:rFonts w:eastAsia="楷体" w:cs="黑体"/>
          <w:szCs w:val="22"/>
        </w:rPr>
      </w:pPr>
      <w:bookmarkStart w:id="78" w:name="_Toc84804943"/>
      <w:r>
        <w:rPr>
          <w:rFonts w:eastAsia="楷体" w:cs="黑体"/>
          <w:szCs w:val="22"/>
        </w:rPr>
        <w:t>1.</w:t>
      </w:r>
      <w:proofErr w:type="gramStart"/>
      <w:r>
        <w:rPr>
          <w:rFonts w:eastAsia="楷体" w:cs="黑体" w:hint="eastAsia"/>
          <w:szCs w:val="22"/>
        </w:rPr>
        <w:t>推进疾控体系</w:t>
      </w:r>
      <w:proofErr w:type="gramEnd"/>
      <w:r>
        <w:rPr>
          <w:rFonts w:eastAsia="楷体" w:cs="黑体" w:hint="eastAsia"/>
          <w:szCs w:val="22"/>
        </w:rPr>
        <w:t>现代化建设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D70FB0" w:rsidRDefault="00EE7950">
      <w:pPr>
        <w:adjustRightInd w:val="0"/>
        <w:snapToGrid w:val="0"/>
        <w:spacing w:line="560" w:lineRule="exact"/>
        <w:ind w:firstLineChars="200" w:firstLine="640"/>
        <w:jc w:val="left"/>
        <w:rPr>
          <w:rFonts w:ascii="Calibri" w:eastAsia="仿宋_GB2312" w:hAnsi="Calibri" w:cs="黑体"/>
          <w:sz w:val="32"/>
          <w:szCs w:val="32"/>
        </w:rPr>
      </w:pPr>
      <w:r>
        <w:rPr>
          <w:rFonts w:ascii="Calibri" w:eastAsia="仿宋_GB2312" w:hAnsi="Calibri" w:cs="黑体" w:hint="eastAsia"/>
          <w:sz w:val="32"/>
          <w:szCs w:val="32"/>
        </w:rPr>
        <w:t>理清</w:t>
      </w:r>
      <w:proofErr w:type="gramStart"/>
      <w:r>
        <w:rPr>
          <w:rFonts w:ascii="Calibri" w:eastAsia="仿宋_GB2312" w:hAnsi="Calibri" w:cs="黑体" w:hint="eastAsia"/>
          <w:sz w:val="32"/>
          <w:szCs w:val="32"/>
        </w:rPr>
        <w:t>疾控机构</w:t>
      </w:r>
      <w:proofErr w:type="gramEnd"/>
      <w:r>
        <w:rPr>
          <w:rFonts w:ascii="Calibri" w:eastAsia="仿宋_GB2312" w:hAnsi="Calibri" w:cs="黑体" w:hint="eastAsia"/>
          <w:sz w:val="32"/>
          <w:szCs w:val="32"/>
        </w:rPr>
        <w:t>与卫生健康行政部门的权责清单，强化</w:t>
      </w:r>
      <w:proofErr w:type="gramStart"/>
      <w:r>
        <w:rPr>
          <w:rFonts w:ascii="Calibri" w:eastAsia="仿宋_GB2312" w:hAnsi="Calibri" w:cs="黑体" w:hint="eastAsia"/>
          <w:sz w:val="32"/>
          <w:szCs w:val="32"/>
        </w:rPr>
        <w:t>疾控机构</w:t>
      </w:r>
      <w:proofErr w:type="gramEnd"/>
      <w:r>
        <w:rPr>
          <w:rFonts w:ascii="Calibri" w:eastAsia="仿宋_GB2312" w:hAnsi="Calibri" w:cs="黑体" w:hint="eastAsia"/>
          <w:sz w:val="32"/>
          <w:szCs w:val="32"/>
        </w:rPr>
        <w:t>对技术性工作的主体责任。完善</w:t>
      </w:r>
      <w:proofErr w:type="gramStart"/>
      <w:r>
        <w:rPr>
          <w:rFonts w:ascii="Calibri" w:eastAsia="仿宋_GB2312" w:hAnsi="Calibri" w:cs="黑体" w:hint="eastAsia"/>
          <w:sz w:val="32"/>
          <w:szCs w:val="32"/>
        </w:rPr>
        <w:t>疾控机构</w:t>
      </w:r>
      <w:proofErr w:type="gramEnd"/>
      <w:r>
        <w:rPr>
          <w:rFonts w:ascii="Calibri" w:eastAsia="仿宋_GB2312" w:hAnsi="Calibri" w:cs="黑体" w:hint="eastAsia"/>
          <w:sz w:val="32"/>
          <w:szCs w:val="32"/>
        </w:rPr>
        <w:t>运行保障机制。建立医疗机构与</w:t>
      </w:r>
      <w:proofErr w:type="gramStart"/>
      <w:r>
        <w:rPr>
          <w:rFonts w:ascii="Calibri" w:eastAsia="仿宋_GB2312" w:hAnsi="Calibri" w:cs="黑体" w:hint="eastAsia"/>
          <w:sz w:val="32"/>
          <w:szCs w:val="32"/>
        </w:rPr>
        <w:t>疾控机构</w:t>
      </w:r>
      <w:proofErr w:type="gramEnd"/>
      <w:r>
        <w:rPr>
          <w:rFonts w:ascii="Calibri" w:eastAsia="仿宋_GB2312" w:hAnsi="Calibri" w:cs="黑体" w:hint="eastAsia"/>
          <w:sz w:val="32"/>
          <w:szCs w:val="32"/>
        </w:rPr>
        <w:t>人员通、信息通、资源通的工作机制，推动公共卫生服务和医疗服务高效协同、无缝衔接。部署落实乡镇卫生院和社区卫生服务中心加挂乡镇（街道）疾病预防控制中心牌子工作，构建起完备的市、镇（街道）、村（社区）三级疾病预防控制网络。加强市疾病预防控制中心建设，</w:t>
      </w:r>
      <w:proofErr w:type="gramStart"/>
      <w:r>
        <w:rPr>
          <w:rFonts w:ascii="Calibri" w:eastAsia="仿宋_GB2312" w:hAnsi="Calibri" w:cs="黑体" w:hint="eastAsia"/>
          <w:sz w:val="32"/>
          <w:szCs w:val="32"/>
        </w:rPr>
        <w:t>强化疾控中心</w:t>
      </w:r>
      <w:proofErr w:type="gramEnd"/>
      <w:r>
        <w:rPr>
          <w:rFonts w:ascii="Calibri" w:eastAsia="仿宋_GB2312" w:hAnsi="Calibri" w:cs="黑体" w:hint="eastAsia"/>
          <w:sz w:val="32"/>
          <w:szCs w:val="32"/>
        </w:rPr>
        <w:t>的功能定位，重点加强现场流行病学调查处置能力和实验室检测能力建设，按照国家县级疾病预防控制机构配置标准，加大设备资金投入，逐步补</w:t>
      </w:r>
      <w:r>
        <w:rPr>
          <w:rFonts w:ascii="Calibri" w:eastAsia="仿宋_GB2312" w:hAnsi="Calibri" w:cs="黑体" w:hint="eastAsia"/>
          <w:sz w:val="32"/>
          <w:szCs w:val="32"/>
        </w:rPr>
        <w:t>齐仪器设备短板。乡镇卫生院、社区卫生服务中心加强社区健康教育、传染病疫情报告、流行病学调查和重点人群的健康监测管理等能力建设。建设符合现代疾病预防控制需求的疫情监测预警系统、实验室检测系统和决策支持系统。持续推进疫苗冷链系统和各类接种单位规范化建设，提升疫苗流通和接种管理信息化水平。</w:t>
      </w:r>
    </w:p>
    <w:p w:rsidR="00D70FB0" w:rsidRDefault="00EE7950">
      <w:pPr>
        <w:pStyle w:val="3"/>
        <w:adjustRightInd w:val="0"/>
        <w:snapToGrid w:val="0"/>
        <w:spacing w:before="0" w:after="0" w:line="600" w:lineRule="exact"/>
        <w:ind w:firstLineChars="200" w:firstLine="643"/>
        <w:jc w:val="left"/>
        <w:rPr>
          <w:rFonts w:ascii="楷体" w:eastAsia="楷体" w:hAnsi="楷体" w:cs="黑体"/>
          <w:bCs w:val="0"/>
          <w:szCs w:val="22"/>
        </w:rPr>
      </w:pPr>
      <w:bookmarkStart w:id="79" w:name="_Toc123"/>
      <w:bookmarkStart w:id="80" w:name="_Toc84804944"/>
      <w:bookmarkStart w:id="81" w:name="_Toc7731"/>
      <w:bookmarkStart w:id="82" w:name="_Toc11204"/>
      <w:bookmarkStart w:id="83" w:name="_Toc23629"/>
      <w:bookmarkStart w:id="84" w:name="_Toc19051"/>
      <w:bookmarkStart w:id="85" w:name="_Toc4629"/>
      <w:bookmarkStart w:id="86" w:name="_Toc29711"/>
      <w:bookmarkStart w:id="87" w:name="_Toc18919"/>
      <w:bookmarkStart w:id="88" w:name="_Toc503"/>
      <w:bookmarkStart w:id="89" w:name="_Toc29882"/>
      <w:bookmarkStart w:id="90" w:name="_Toc32522"/>
      <w:bookmarkStart w:id="91" w:name="_Toc21473"/>
      <w:bookmarkStart w:id="92" w:name="_Toc65153905"/>
      <w:bookmarkStart w:id="93" w:name="_Toc16295"/>
      <w:bookmarkStart w:id="94" w:name="_Toc19599"/>
      <w:bookmarkStart w:id="95" w:name="_Toc25458"/>
      <w:r>
        <w:rPr>
          <w:rFonts w:ascii="楷体" w:eastAsia="楷体" w:hAnsi="楷体" w:cs="黑体"/>
          <w:bCs w:val="0"/>
          <w:szCs w:val="22"/>
        </w:rPr>
        <w:t>2.</w:t>
      </w:r>
      <w:r>
        <w:rPr>
          <w:rFonts w:ascii="楷体" w:eastAsia="楷体" w:hAnsi="楷体" w:cs="黑体" w:hint="eastAsia"/>
          <w:bCs w:val="0"/>
          <w:szCs w:val="22"/>
        </w:rPr>
        <w:t>推进卫生应急管理体系和能力现代化</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D70FB0" w:rsidRDefault="00EE7950">
      <w:pPr>
        <w:adjustRightInd w:val="0"/>
        <w:snapToGrid w:val="0"/>
        <w:spacing w:line="560" w:lineRule="exact"/>
        <w:ind w:firstLine="643"/>
        <w:rPr>
          <w:rFonts w:ascii="仿宋_GB2312" w:eastAsia="仿宋_GB2312" w:hAnsi="仿宋_GB2312" w:cs="仿宋_GB2312"/>
          <w:sz w:val="32"/>
          <w:szCs w:val="32"/>
        </w:rPr>
      </w:pPr>
      <w:bookmarkStart w:id="96" w:name="_Toc5301"/>
      <w:bookmarkStart w:id="97" w:name="_Toc29593"/>
      <w:bookmarkStart w:id="98" w:name="_Toc16056"/>
      <w:bookmarkStart w:id="99" w:name="_Toc29795"/>
      <w:r>
        <w:rPr>
          <w:rFonts w:ascii="仿宋_GB2312" w:eastAsia="仿宋_GB2312" w:hAnsi="仿宋_GB2312" w:cs="仿宋_GB2312" w:hint="eastAsia"/>
          <w:b/>
          <w:bCs/>
          <w:sz w:val="32"/>
          <w:szCs w:val="32"/>
        </w:rPr>
        <w:t>完善卫生应急指挥体系。</w:t>
      </w:r>
      <w:r>
        <w:rPr>
          <w:rFonts w:ascii="仿宋_GB2312" w:eastAsia="仿宋_GB2312" w:hAnsi="仿宋_GB2312" w:cs="仿宋_GB2312" w:hint="eastAsia"/>
          <w:sz w:val="32"/>
          <w:szCs w:val="32"/>
        </w:rPr>
        <w:t>构建统一领导、权责匹配、权威高效的公共卫生应急管理格局，深化多部门联防联控应对处置工作体系，完善突发公共卫生事件决策议事制度。到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年，市卫生健康局、应急指挥中心</w:t>
      </w:r>
      <w:r>
        <w:rPr>
          <w:rFonts w:ascii="仿宋_GB2312" w:eastAsia="仿宋_GB2312" w:hAnsi="仿宋_GB2312" w:cs="仿宋_GB2312" w:hint="eastAsia"/>
          <w:sz w:val="32"/>
          <w:szCs w:val="32"/>
        </w:rPr>
        <w:t>建设配备完成率达</w:t>
      </w:r>
      <w:r>
        <w:rPr>
          <w:rFonts w:ascii="仿宋_GB2312" w:eastAsia="仿宋_GB2312" w:hAnsi="仿宋_GB2312" w:cs="仿宋_GB2312" w:hint="eastAsia"/>
          <w:sz w:val="32"/>
          <w:szCs w:val="32"/>
        </w:rPr>
        <w:lastRenderedPageBreak/>
        <w:t>100%</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市疾控中心</w:t>
      </w:r>
      <w:proofErr w:type="gramEnd"/>
      <w:r>
        <w:rPr>
          <w:rFonts w:ascii="仿宋_GB2312" w:eastAsia="仿宋_GB2312" w:hAnsi="仿宋_GB2312" w:cs="仿宋_GB2312" w:hint="eastAsia"/>
          <w:sz w:val="32"/>
          <w:szCs w:val="32"/>
        </w:rPr>
        <w:t>应建成应急作业中心，做好各级各类卫生应急相关预案的衔接工作和动态管理。二级及以上综合医院成立卫生应急工作领导小组，并设立应急办或指定科室负责紧急医学救援工作。</w:t>
      </w:r>
    </w:p>
    <w:p w:rsidR="00D70FB0" w:rsidRDefault="00EE7950">
      <w:pPr>
        <w:pBdr>
          <w:top w:val="none" w:sz="0" w:space="0" w:color="000000"/>
          <w:left w:val="none" w:sz="0" w:space="0" w:color="000000"/>
          <w:bottom w:val="none" w:sz="0" w:space="5" w:color="000000"/>
          <w:right w:val="none" w:sz="0" w:space="0" w:color="000000"/>
        </w:pBdr>
        <w:adjustRightInd w:val="0"/>
        <w:snapToGrid w:val="0"/>
        <w:spacing w:line="560" w:lineRule="exact"/>
        <w:ind w:firstLineChars="200" w:firstLine="643"/>
        <w:jc w:val="left"/>
        <w:rPr>
          <w:rFonts w:ascii="仿宋_GB2312" w:eastAsia="仿宋_GB2312" w:hAnsi="仿宋_GB2312" w:cs="仿宋_GB2312"/>
          <w:sz w:val="32"/>
          <w:szCs w:val="32"/>
        </w:rPr>
      </w:pPr>
      <w:bookmarkStart w:id="100" w:name="_Toc19017"/>
      <w:r>
        <w:rPr>
          <w:rFonts w:ascii="仿宋_GB2312" w:eastAsia="仿宋_GB2312" w:hAnsi="仿宋_GB2312" w:cs="仿宋_GB2312" w:hint="eastAsia"/>
          <w:b/>
          <w:bCs/>
          <w:sz w:val="32"/>
          <w:szCs w:val="32"/>
        </w:rPr>
        <w:t>提升卫生应急核心能力。</w:t>
      </w:r>
      <w:r>
        <w:rPr>
          <w:rFonts w:ascii="仿宋_GB2312" w:eastAsia="仿宋_GB2312" w:hAnsi="仿宋_GB2312" w:cs="仿宋_GB2312" w:hint="eastAsia"/>
          <w:sz w:val="32"/>
          <w:szCs w:val="32"/>
        </w:rPr>
        <w:t>加强全市卫生应急队伍规范化建设，参与建设江门市、开平市、镇（街</w:t>
      </w:r>
      <w:r>
        <w:rPr>
          <w:rFonts w:ascii="Calibri" w:eastAsia="仿宋_GB2312" w:hAnsi="Calibri" w:cs="黑体" w:hint="eastAsia"/>
          <w:sz w:val="32"/>
          <w:szCs w:val="32"/>
        </w:rPr>
        <w:t>道</w:t>
      </w:r>
      <w:r>
        <w:rPr>
          <w:rFonts w:ascii="仿宋_GB2312" w:eastAsia="仿宋_GB2312" w:hAnsi="仿宋_GB2312" w:cs="仿宋_GB2312" w:hint="eastAsia"/>
          <w:sz w:val="32"/>
          <w:szCs w:val="32"/>
        </w:rPr>
        <w:t>）、村（社区）四级应急指挥系统信息平台，整合应急值守、信息汇总、指挥协调、专家</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判、视频会商和现场调度等功能，建设跨部门多元融合数据平台和高效协同、上下联动的统一指挥平台。建立应急急救资源信息汇集机制和紧急情况</w:t>
      </w:r>
      <w:proofErr w:type="gramStart"/>
      <w:r>
        <w:rPr>
          <w:rFonts w:ascii="仿宋_GB2312" w:eastAsia="仿宋_GB2312" w:hAnsi="仿宋_GB2312" w:cs="仿宋_GB2312" w:hint="eastAsia"/>
          <w:sz w:val="32"/>
          <w:szCs w:val="32"/>
        </w:rPr>
        <w:t>下全市</w:t>
      </w:r>
      <w:proofErr w:type="gramEnd"/>
      <w:r>
        <w:rPr>
          <w:rFonts w:ascii="仿宋_GB2312" w:eastAsia="仿宋_GB2312" w:hAnsi="仿宋_GB2312" w:cs="仿宋_GB2312" w:hint="eastAsia"/>
          <w:sz w:val="32"/>
          <w:szCs w:val="32"/>
        </w:rPr>
        <w:t>统一决策指挥、</w:t>
      </w:r>
      <w:r>
        <w:rPr>
          <w:rFonts w:ascii="仿宋_GB2312" w:eastAsia="仿宋_GB2312" w:hAnsi="仿宋_GB2312" w:cs="仿宋_GB2312" w:hint="eastAsia"/>
          <w:sz w:val="32"/>
          <w:szCs w:val="32"/>
        </w:rPr>
        <w:t>急救物资统一调度机制。通过信息化建设，为紧急情况下从属地指挥到市级统一指挥无缝切换提供系统支撑，为应急情况下迅速决策提供实时有效信息，保障患者转运和紧急医疗救治工作的有效开展。完善公共卫生应急物资储备目录，合理确定各级政府储备规模，实行分级储备、动态调整。加强应急心理援助和心理危机干预网络建设，提升重大突发事件心理救援能力。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年，我市公共卫生应急管理软硬件建设、应对重大突发公共卫生事件的能力全面提升。</w:t>
      </w:r>
      <w:bookmarkEnd w:id="100"/>
      <w:r>
        <w:rPr>
          <w:rFonts w:ascii="仿宋_GB2312" w:eastAsia="仿宋_GB2312" w:hAnsi="仿宋_GB2312" w:cs="仿宋_GB2312" w:hint="eastAsia"/>
          <w:sz w:val="32"/>
          <w:szCs w:val="32"/>
        </w:rPr>
        <w:t>强化基层卫生人员知识储备和培训演练，提升先期处置能力。深入开展卫生应急知识宣教，提高人民群众对突发公</w:t>
      </w:r>
      <w:r>
        <w:rPr>
          <w:rFonts w:ascii="仿宋_GB2312" w:eastAsia="仿宋_GB2312" w:hAnsi="仿宋_GB2312" w:cs="仿宋_GB2312" w:hint="eastAsia"/>
          <w:sz w:val="32"/>
          <w:szCs w:val="32"/>
        </w:rPr>
        <w:t>共卫生事件认知水平和预防自救互救能力。</w:t>
      </w:r>
      <w:bookmarkStart w:id="101" w:name="_Toc2754"/>
      <w:bookmarkStart w:id="102" w:name="_Toc9150"/>
      <w:bookmarkStart w:id="103" w:name="_Toc22188"/>
      <w:bookmarkStart w:id="104" w:name="_Toc9501"/>
      <w:bookmarkStart w:id="105" w:name="_Toc1898"/>
      <w:bookmarkStart w:id="106" w:name="_Toc16718"/>
      <w:bookmarkStart w:id="107" w:name="_Toc19346"/>
      <w:bookmarkStart w:id="108" w:name="_Toc21884"/>
      <w:bookmarkStart w:id="109" w:name="_Toc3365"/>
      <w:bookmarkStart w:id="110" w:name="_Toc30114"/>
      <w:bookmarkStart w:id="111" w:name="_Toc65153906"/>
      <w:bookmarkStart w:id="112" w:name="_Toc22493"/>
    </w:p>
    <w:p w:rsidR="00D70FB0" w:rsidRDefault="00EE7950">
      <w:pPr>
        <w:pStyle w:val="3"/>
        <w:pBdr>
          <w:top w:val="none" w:sz="0" w:space="0" w:color="000000"/>
          <w:left w:val="none" w:sz="0" w:space="0" w:color="000000"/>
          <w:bottom w:val="none" w:sz="0" w:space="5" w:color="000000"/>
          <w:right w:val="none" w:sz="0" w:space="0" w:color="000000"/>
        </w:pBdr>
        <w:adjustRightInd w:val="0"/>
        <w:snapToGrid w:val="0"/>
        <w:spacing w:before="0" w:after="0" w:line="600" w:lineRule="exact"/>
        <w:ind w:firstLineChars="200" w:firstLine="643"/>
        <w:jc w:val="left"/>
        <w:rPr>
          <w:rFonts w:ascii="楷体" w:eastAsia="楷体" w:hAnsi="楷体" w:cs="黑体"/>
          <w:bCs w:val="0"/>
          <w:szCs w:val="22"/>
        </w:rPr>
      </w:pPr>
      <w:bookmarkStart w:id="113" w:name="_Toc84804945"/>
      <w:r>
        <w:rPr>
          <w:rFonts w:ascii="楷体" w:eastAsia="楷体" w:hAnsi="楷体" w:cs="黑体" w:hint="eastAsia"/>
          <w:bCs w:val="0"/>
          <w:szCs w:val="22"/>
        </w:rPr>
        <w:t>3</w:t>
      </w:r>
      <w:r>
        <w:rPr>
          <w:rFonts w:ascii="楷体" w:eastAsia="楷体" w:hAnsi="楷体" w:cs="黑体"/>
          <w:bCs w:val="0"/>
          <w:szCs w:val="22"/>
        </w:rPr>
        <w:t>.</w:t>
      </w:r>
      <w:r>
        <w:rPr>
          <w:rFonts w:ascii="楷体" w:eastAsia="楷体" w:hAnsi="楷体" w:cs="黑体" w:hint="eastAsia"/>
          <w:bCs w:val="0"/>
          <w:szCs w:val="22"/>
        </w:rPr>
        <w:t>健全重大疫情救治体系</w:t>
      </w:r>
      <w:bookmarkEnd w:id="96"/>
      <w:bookmarkEnd w:id="97"/>
      <w:bookmarkEnd w:id="98"/>
      <w:bookmarkEnd w:id="99"/>
      <w:bookmarkEnd w:id="101"/>
      <w:bookmarkEnd w:id="102"/>
      <w:bookmarkEnd w:id="103"/>
      <w:bookmarkEnd w:id="104"/>
      <w:bookmarkEnd w:id="105"/>
      <w:bookmarkEnd w:id="106"/>
      <w:bookmarkEnd w:id="107"/>
      <w:bookmarkEnd w:id="108"/>
      <w:bookmarkEnd w:id="109"/>
      <w:bookmarkEnd w:id="110"/>
      <w:bookmarkEnd w:id="111"/>
      <w:bookmarkEnd w:id="112"/>
      <w:bookmarkEnd w:id="113"/>
    </w:p>
    <w:p w:rsidR="00D70FB0" w:rsidRDefault="00EE7950">
      <w:pPr>
        <w:pStyle w:val="NewNewNew"/>
        <w:pBdr>
          <w:top w:val="none" w:sz="0" w:space="0" w:color="000000"/>
          <w:left w:val="none" w:sz="0" w:space="0" w:color="000000"/>
          <w:bottom w:val="none" w:sz="0" w:space="5" w:color="000000"/>
          <w:right w:val="none" w:sz="0" w:space="0" w:color="000000"/>
        </w:pBdr>
        <w:tabs>
          <w:tab w:val="left" w:pos="0"/>
        </w:tabs>
        <w:adjustRightInd w:val="0"/>
        <w:snapToGrid w:val="0"/>
        <w:spacing w:line="560" w:lineRule="exact"/>
        <w:ind w:firstLineChars="200" w:firstLine="640"/>
        <w:jc w:val="lef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按照“平战结合”原则，建立健全分级、分层、分流的重大疫情救治机制。完善重大疫情防控救治体系，全面</w:t>
      </w:r>
      <w:proofErr w:type="gramStart"/>
      <w:r>
        <w:rPr>
          <w:rFonts w:ascii="仿宋_GB2312" w:eastAsia="仿宋_GB2312" w:hAnsi="仿宋_GB2312" w:cs="仿宋_GB2312" w:hint="eastAsia"/>
          <w:bCs/>
          <w:kern w:val="2"/>
          <w:sz w:val="32"/>
          <w:szCs w:val="32"/>
        </w:rPr>
        <w:t>提升</w:t>
      </w:r>
      <w:r>
        <w:rPr>
          <w:rFonts w:ascii="仿宋_GB2312" w:eastAsia="仿宋_GB2312" w:hAnsi="仿宋_GB2312" w:cs="仿宋_GB2312" w:hint="eastAsia"/>
          <w:bCs/>
          <w:kern w:val="2"/>
          <w:sz w:val="32"/>
          <w:szCs w:val="32"/>
        </w:rPr>
        <w:lastRenderedPageBreak/>
        <w:t>市疾控</w:t>
      </w:r>
      <w:proofErr w:type="gramEnd"/>
      <w:r>
        <w:rPr>
          <w:rFonts w:ascii="仿宋_GB2312" w:eastAsia="仿宋_GB2312" w:hAnsi="仿宋_GB2312" w:cs="仿宋_GB2312" w:hint="eastAsia"/>
          <w:bCs/>
          <w:kern w:val="2"/>
          <w:sz w:val="32"/>
          <w:szCs w:val="32"/>
        </w:rPr>
        <w:t>中心疫情发现和现场处置能力；</w:t>
      </w:r>
      <w:proofErr w:type="gramStart"/>
      <w:r>
        <w:rPr>
          <w:rFonts w:ascii="仿宋_GB2312" w:eastAsia="仿宋_GB2312" w:hAnsi="仿宋_GB2312" w:cs="仿宋_GB2312" w:hint="eastAsia"/>
          <w:bCs/>
          <w:kern w:val="2"/>
          <w:sz w:val="32"/>
          <w:szCs w:val="32"/>
        </w:rPr>
        <w:t>提升市</w:t>
      </w:r>
      <w:proofErr w:type="gramEnd"/>
      <w:r>
        <w:rPr>
          <w:rFonts w:ascii="仿宋_GB2312" w:eastAsia="仿宋_GB2312" w:hAnsi="仿宋_GB2312" w:cs="仿宋_GB2312" w:hint="eastAsia"/>
          <w:bCs/>
          <w:kern w:val="2"/>
          <w:sz w:val="32"/>
          <w:szCs w:val="32"/>
        </w:rPr>
        <w:t>二级以上医院的救治能力以及重症救治能力建设，通过开平市中心医院住院大楼建设项目、开平市中医院</w:t>
      </w:r>
      <w:proofErr w:type="gramStart"/>
      <w:r>
        <w:rPr>
          <w:rFonts w:ascii="仿宋_GB2312" w:eastAsia="仿宋_GB2312" w:hAnsi="仿宋_GB2312" w:cs="仿宋_GB2312" w:hint="eastAsia"/>
          <w:bCs/>
          <w:kern w:val="2"/>
          <w:sz w:val="32"/>
          <w:szCs w:val="32"/>
        </w:rPr>
        <w:t>医养中心</w:t>
      </w:r>
      <w:proofErr w:type="gramEnd"/>
      <w:r>
        <w:rPr>
          <w:rFonts w:ascii="仿宋_GB2312" w:eastAsia="仿宋_GB2312" w:hAnsi="仿宋_GB2312" w:cs="仿宋_GB2312" w:hint="eastAsia"/>
          <w:bCs/>
          <w:kern w:val="2"/>
          <w:sz w:val="32"/>
          <w:szCs w:val="32"/>
        </w:rPr>
        <w:t>建设项目、开平市第三人民医院住院综合大楼建设项目、开平立</w:t>
      </w:r>
      <w:proofErr w:type="gramStart"/>
      <w:r>
        <w:rPr>
          <w:rFonts w:ascii="仿宋_GB2312" w:eastAsia="仿宋_GB2312" w:hAnsi="仿宋_GB2312" w:cs="仿宋_GB2312" w:hint="eastAsia"/>
          <w:bCs/>
          <w:kern w:val="2"/>
          <w:sz w:val="32"/>
          <w:szCs w:val="32"/>
        </w:rPr>
        <w:t>群医院</w:t>
      </w:r>
      <w:proofErr w:type="gramEnd"/>
      <w:r>
        <w:rPr>
          <w:rFonts w:ascii="仿宋_GB2312" w:eastAsia="仿宋_GB2312" w:hAnsi="仿宋_GB2312" w:cs="仿宋_GB2312" w:hint="eastAsia"/>
          <w:bCs/>
          <w:kern w:val="2"/>
          <w:sz w:val="32"/>
          <w:szCs w:val="32"/>
        </w:rPr>
        <w:t>建设项目等重点项目，提高集中收治能力和容量；加强市、镇两级医疗机构或者卫生站的基础设施建设、设备升级和检验检测能力，把好疫情医疗救治第一道关口；提升基层医疗机构应急能力建设。统筹乡镇卫生院（社区卫生服务中心）能</w:t>
      </w:r>
      <w:r>
        <w:rPr>
          <w:rFonts w:ascii="仿宋_GB2312" w:eastAsia="仿宋_GB2312" w:hAnsi="仿宋_GB2312" w:cs="仿宋_GB2312" w:hint="eastAsia"/>
          <w:bCs/>
          <w:kern w:val="2"/>
          <w:sz w:val="32"/>
          <w:szCs w:val="32"/>
        </w:rPr>
        <w:t>力建设，推动发热门诊建设，提高早发现能力，筑牢疫情医疗救治和防控网底；强化</w:t>
      </w:r>
      <w:r>
        <w:rPr>
          <w:rFonts w:ascii="仿宋_GB2312" w:eastAsia="仿宋_GB2312" w:hAnsi="仿宋_GB2312" w:cs="仿宋_GB2312" w:hint="eastAsia"/>
          <w:sz w:val="32"/>
          <w:szCs w:val="32"/>
        </w:rPr>
        <w:t>二级以上综合医院</w:t>
      </w:r>
      <w:r>
        <w:rPr>
          <w:rFonts w:ascii="仿宋_GB2312" w:eastAsia="仿宋_GB2312" w:hAnsi="仿宋_GB2312" w:cs="仿宋_GB2312" w:hint="eastAsia"/>
          <w:bCs/>
          <w:kern w:val="2"/>
          <w:sz w:val="32"/>
          <w:szCs w:val="32"/>
        </w:rPr>
        <w:t>规范化发热门诊（诊室）建设，规范预检分诊管理。探索建立中西医结合的应急机制。到</w:t>
      </w:r>
      <w:r>
        <w:rPr>
          <w:rFonts w:ascii="仿宋_GB2312" w:eastAsia="仿宋_GB2312" w:hAnsi="仿宋_GB2312" w:cs="仿宋_GB2312" w:hint="eastAsia"/>
          <w:bCs/>
          <w:kern w:val="2"/>
          <w:sz w:val="32"/>
          <w:szCs w:val="32"/>
        </w:rPr>
        <w:t>2025</w:t>
      </w:r>
      <w:r>
        <w:rPr>
          <w:rFonts w:ascii="仿宋_GB2312" w:eastAsia="仿宋_GB2312" w:hAnsi="仿宋_GB2312" w:cs="仿宋_GB2312" w:hint="eastAsia"/>
          <w:bCs/>
          <w:kern w:val="2"/>
          <w:sz w:val="32"/>
          <w:szCs w:val="32"/>
        </w:rPr>
        <w:t>年，我市公共卫生应急管理软硬件建设、应对重大突发公共卫生事件的能力全面提升。加强紧急医学救援能力建设。升级市级卫生应急救援队伍装备，标准装备</w:t>
      </w:r>
      <w:r>
        <w:rPr>
          <w:rFonts w:ascii="仿宋_GB2312" w:eastAsia="仿宋_GB2312" w:hAnsi="仿宋_GB2312" w:cs="仿宋_GB2312" w:hint="eastAsia"/>
          <w:bCs/>
          <w:kern w:val="2"/>
          <w:sz w:val="32"/>
          <w:szCs w:val="32"/>
        </w:rPr>
        <w:t>100%</w:t>
      </w:r>
      <w:r>
        <w:rPr>
          <w:rFonts w:ascii="仿宋_GB2312" w:eastAsia="仿宋_GB2312" w:hAnsi="仿宋_GB2312" w:cs="仿宋_GB2312" w:hint="eastAsia"/>
          <w:bCs/>
          <w:kern w:val="2"/>
          <w:sz w:val="32"/>
          <w:szCs w:val="32"/>
        </w:rPr>
        <w:t>配备到位。建成市突发急性传染病卫生应急队伍以及紧急医学救援站点。建立常态</w:t>
      </w:r>
      <w:proofErr w:type="gramStart"/>
      <w:r>
        <w:rPr>
          <w:rFonts w:ascii="仿宋_GB2312" w:eastAsia="仿宋_GB2312" w:hAnsi="仿宋_GB2312" w:cs="仿宋_GB2312" w:hint="eastAsia"/>
          <w:bCs/>
          <w:kern w:val="2"/>
          <w:sz w:val="32"/>
          <w:szCs w:val="32"/>
        </w:rPr>
        <w:t>化培训</w:t>
      </w:r>
      <w:proofErr w:type="gramEnd"/>
      <w:r>
        <w:rPr>
          <w:rFonts w:ascii="仿宋_GB2312" w:eastAsia="仿宋_GB2312" w:hAnsi="仿宋_GB2312" w:cs="仿宋_GB2312" w:hint="eastAsia"/>
          <w:bCs/>
          <w:kern w:val="2"/>
          <w:sz w:val="32"/>
          <w:szCs w:val="32"/>
        </w:rPr>
        <w:t>和演练制度，实现业务培训全覆盖</w:t>
      </w:r>
      <w:bookmarkStart w:id="114" w:name="_Toc28870"/>
      <w:bookmarkStart w:id="115" w:name="_Toc26885"/>
      <w:bookmarkStart w:id="116" w:name="_Toc10050"/>
      <w:bookmarkStart w:id="117" w:name="_Toc11558"/>
      <w:bookmarkStart w:id="118" w:name="_Toc29738"/>
      <w:bookmarkStart w:id="119" w:name="_Toc17464"/>
      <w:bookmarkStart w:id="120" w:name="_Toc492"/>
      <w:bookmarkStart w:id="121" w:name="_Toc28580"/>
      <w:bookmarkStart w:id="122" w:name="_Toc12754"/>
      <w:bookmarkStart w:id="123" w:name="_Toc14543"/>
      <w:bookmarkStart w:id="124" w:name="_Toc20540"/>
      <w:bookmarkStart w:id="125" w:name="_Toc23300"/>
      <w:bookmarkStart w:id="126" w:name="_Toc65153907"/>
      <w:bookmarkStart w:id="127" w:name="_Toc2053"/>
      <w:bookmarkStart w:id="128" w:name="_Toc21135"/>
      <w:bookmarkStart w:id="129" w:name="_Toc14104"/>
      <w:r>
        <w:rPr>
          <w:rFonts w:ascii="仿宋_GB2312" w:eastAsia="仿宋_GB2312" w:hAnsi="仿宋_GB2312" w:cs="仿宋_GB2312" w:hint="eastAsia"/>
          <w:bCs/>
          <w:kern w:val="2"/>
          <w:sz w:val="32"/>
          <w:szCs w:val="32"/>
        </w:rPr>
        <w:t>。</w:t>
      </w:r>
    </w:p>
    <w:p w:rsidR="00D70FB0" w:rsidRDefault="00EE7950">
      <w:pPr>
        <w:pStyle w:val="3"/>
        <w:pBdr>
          <w:top w:val="none" w:sz="0" w:space="0" w:color="000000"/>
          <w:left w:val="none" w:sz="0" w:space="0" w:color="000000"/>
          <w:bottom w:val="none" w:sz="0" w:space="5" w:color="000000"/>
          <w:right w:val="none" w:sz="0" w:space="0" w:color="000000"/>
        </w:pBdr>
        <w:adjustRightInd w:val="0"/>
        <w:snapToGrid w:val="0"/>
        <w:spacing w:before="0" w:after="0" w:line="600" w:lineRule="exact"/>
        <w:ind w:firstLineChars="200" w:firstLine="643"/>
        <w:jc w:val="left"/>
        <w:rPr>
          <w:rFonts w:ascii="楷体" w:eastAsia="楷体" w:hAnsi="楷体" w:cs="黑体"/>
          <w:bCs w:val="0"/>
          <w:szCs w:val="22"/>
        </w:rPr>
      </w:pPr>
      <w:bookmarkStart w:id="130" w:name="_Toc84804946"/>
      <w:r>
        <w:rPr>
          <w:rFonts w:ascii="楷体" w:eastAsia="楷体" w:hAnsi="楷体" w:cs="黑体" w:hint="eastAsia"/>
          <w:bCs w:val="0"/>
          <w:szCs w:val="22"/>
        </w:rPr>
        <w:t>4.</w:t>
      </w:r>
      <w:r>
        <w:rPr>
          <w:rFonts w:ascii="楷体" w:eastAsia="楷体" w:hAnsi="楷体" w:cs="黑体" w:hint="eastAsia"/>
          <w:bCs w:val="0"/>
          <w:szCs w:val="22"/>
        </w:rPr>
        <w:t>创新</w:t>
      </w:r>
      <w:proofErr w:type="gramStart"/>
      <w:r>
        <w:rPr>
          <w:rFonts w:ascii="楷体" w:eastAsia="楷体" w:hAnsi="楷体" w:cs="黑体" w:hint="eastAsia"/>
          <w:bCs w:val="0"/>
          <w:szCs w:val="22"/>
        </w:rPr>
        <w:t>医</w:t>
      </w:r>
      <w:proofErr w:type="gramEnd"/>
      <w:r>
        <w:rPr>
          <w:rFonts w:ascii="楷体" w:eastAsia="楷体" w:hAnsi="楷体" w:cs="黑体" w:hint="eastAsia"/>
          <w:bCs w:val="0"/>
          <w:szCs w:val="22"/>
        </w:rPr>
        <w:t>防协同机制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D70FB0" w:rsidRDefault="00EE7950">
      <w:pPr>
        <w:pStyle w:val="a4"/>
        <w:pBdr>
          <w:top w:val="none" w:sz="0" w:space="0" w:color="000000"/>
          <w:left w:val="none" w:sz="0" w:space="0" w:color="000000"/>
          <w:bottom w:val="none" w:sz="0" w:space="5" w:color="000000"/>
          <w:right w:val="none" w:sz="0" w:space="0" w:color="000000"/>
        </w:pBdr>
        <w:adjustRightInd w:val="0"/>
        <w:spacing w:line="560" w:lineRule="exact"/>
        <w:ind w:firstLineChars="200" w:firstLine="640"/>
        <w:contextualSpacing/>
        <w:jc w:val="left"/>
        <w:rPr>
          <w:rFonts w:ascii="仿宋_GB2312" w:hAnsi="仿宋_GB2312" w:cs="仿宋_GB2312"/>
          <w:szCs w:val="32"/>
        </w:rPr>
      </w:pPr>
      <w:r>
        <w:rPr>
          <w:rFonts w:ascii="仿宋_GB2312" w:hAnsi="仿宋_GB2312" w:cs="仿宋_GB2312" w:hint="eastAsia"/>
          <w:szCs w:val="32"/>
        </w:rPr>
        <w:t>推动公共卫生服务与医疗服务高效协同。建立健全以江</w:t>
      </w:r>
      <w:proofErr w:type="gramStart"/>
      <w:r>
        <w:rPr>
          <w:rFonts w:ascii="仿宋_GB2312" w:hAnsi="仿宋_GB2312" w:cs="仿宋_GB2312" w:hint="eastAsia"/>
          <w:szCs w:val="32"/>
        </w:rPr>
        <w:t>门市疾控中心</w:t>
      </w:r>
      <w:proofErr w:type="gramEnd"/>
      <w:r>
        <w:rPr>
          <w:rFonts w:ascii="仿宋_GB2312" w:hAnsi="仿宋_GB2312" w:cs="仿宋_GB2312" w:hint="eastAsia"/>
          <w:szCs w:val="32"/>
        </w:rPr>
        <w:t>为核心、开平</w:t>
      </w:r>
      <w:proofErr w:type="gramStart"/>
      <w:r>
        <w:rPr>
          <w:rFonts w:ascii="仿宋_GB2312" w:hAnsi="仿宋_GB2312" w:cs="仿宋_GB2312" w:hint="eastAsia"/>
          <w:szCs w:val="32"/>
        </w:rPr>
        <w:t>市疾控中心</w:t>
      </w:r>
      <w:proofErr w:type="gramEnd"/>
      <w:r>
        <w:rPr>
          <w:rFonts w:ascii="仿宋_GB2312" w:hAnsi="仿宋_GB2312" w:cs="仿宋_GB2312" w:hint="eastAsia"/>
          <w:szCs w:val="32"/>
        </w:rPr>
        <w:t>为枢纽，基层医疗机构为防护网底的疾病预防控制三级网络。完善医疗机构与</w:t>
      </w:r>
      <w:proofErr w:type="gramStart"/>
      <w:r>
        <w:rPr>
          <w:rFonts w:ascii="仿宋_GB2312" w:hAnsi="仿宋_GB2312" w:cs="仿宋_GB2312" w:hint="eastAsia"/>
          <w:szCs w:val="32"/>
        </w:rPr>
        <w:t>疾控机构</w:t>
      </w:r>
      <w:proofErr w:type="gramEnd"/>
      <w:r>
        <w:rPr>
          <w:rFonts w:ascii="仿宋_GB2312" w:hAnsi="仿宋_GB2312" w:cs="仿宋_GB2312" w:hint="eastAsia"/>
          <w:szCs w:val="32"/>
        </w:rPr>
        <w:t>密切协作的工作机制，搭建科研协作、业务培训、病原</w:t>
      </w:r>
      <w:r>
        <w:rPr>
          <w:rFonts w:ascii="仿宋_GB2312" w:hAnsi="仿宋_GB2312" w:cs="仿宋_GB2312" w:hint="eastAsia"/>
          <w:bCs/>
          <w:szCs w:val="32"/>
        </w:rPr>
        <w:t>微</w:t>
      </w:r>
      <w:r>
        <w:rPr>
          <w:rFonts w:ascii="仿宋_GB2312" w:hAnsi="仿宋_GB2312" w:cs="仿宋_GB2312" w:hint="eastAsia"/>
          <w:szCs w:val="32"/>
        </w:rPr>
        <w:t>生物检验鉴定、信息互通共享的业务支撑平台，依托</w:t>
      </w:r>
      <w:proofErr w:type="gramStart"/>
      <w:r>
        <w:rPr>
          <w:rFonts w:ascii="仿宋_GB2312" w:hAnsi="仿宋_GB2312" w:cs="仿宋_GB2312" w:hint="eastAsia"/>
          <w:szCs w:val="32"/>
        </w:rPr>
        <w:t>医</w:t>
      </w:r>
      <w:proofErr w:type="gramEnd"/>
      <w:r>
        <w:rPr>
          <w:rFonts w:ascii="仿宋_GB2312" w:hAnsi="仿宋_GB2312" w:cs="仿宋_GB2312" w:hint="eastAsia"/>
          <w:szCs w:val="32"/>
        </w:rPr>
        <w:t>联体或者</w:t>
      </w:r>
      <w:proofErr w:type="gramStart"/>
      <w:r>
        <w:rPr>
          <w:rFonts w:ascii="仿宋_GB2312" w:hAnsi="仿宋_GB2312" w:cs="仿宋_GB2312" w:hint="eastAsia"/>
          <w:szCs w:val="32"/>
        </w:rPr>
        <w:t>医</w:t>
      </w:r>
      <w:proofErr w:type="gramEnd"/>
      <w:r>
        <w:rPr>
          <w:rFonts w:ascii="仿宋_GB2312" w:hAnsi="仿宋_GB2312" w:cs="仿宋_GB2312" w:hint="eastAsia"/>
          <w:szCs w:val="32"/>
        </w:rPr>
        <w:t>共体，构建“疾控</w:t>
      </w:r>
      <w:r>
        <w:rPr>
          <w:rFonts w:ascii="仿宋_GB2312" w:hAnsi="仿宋_GB2312" w:cs="仿宋_GB2312" w:hint="eastAsia"/>
          <w:bCs/>
          <w:szCs w:val="32"/>
        </w:rPr>
        <w:t>-</w:t>
      </w:r>
      <w:r>
        <w:rPr>
          <w:rFonts w:ascii="仿宋_GB2312" w:hAnsi="仿宋_GB2312" w:cs="仿宋_GB2312" w:hint="eastAsia"/>
          <w:szCs w:val="32"/>
        </w:rPr>
        <w:t>临床</w:t>
      </w:r>
      <w:r>
        <w:rPr>
          <w:rFonts w:ascii="仿宋_GB2312" w:hAnsi="仿宋_GB2312" w:cs="仿宋_GB2312" w:hint="eastAsia"/>
          <w:bCs/>
          <w:szCs w:val="32"/>
        </w:rPr>
        <w:t>-</w:t>
      </w:r>
      <w:r>
        <w:rPr>
          <w:rFonts w:ascii="仿宋_GB2312" w:hAnsi="仿宋_GB2312" w:cs="仿宋_GB2312" w:hint="eastAsia"/>
          <w:szCs w:val="32"/>
        </w:rPr>
        <w:t>科研”三位一体的工作</w:t>
      </w:r>
      <w:r>
        <w:rPr>
          <w:rFonts w:ascii="仿宋_GB2312" w:hAnsi="仿宋_GB2312" w:cs="仿宋_GB2312" w:hint="eastAsia"/>
          <w:szCs w:val="32"/>
        </w:rPr>
        <w:lastRenderedPageBreak/>
        <w:t>模式，形成上下贯通、</w:t>
      </w:r>
      <w:proofErr w:type="gramStart"/>
      <w:r>
        <w:rPr>
          <w:rFonts w:ascii="仿宋_GB2312" w:hAnsi="仿宋_GB2312" w:cs="仿宋_GB2312" w:hint="eastAsia"/>
          <w:szCs w:val="32"/>
        </w:rPr>
        <w:t>医</w:t>
      </w:r>
      <w:proofErr w:type="gramEnd"/>
      <w:r>
        <w:rPr>
          <w:rFonts w:ascii="仿宋_GB2312" w:hAnsi="仿宋_GB2312" w:cs="仿宋_GB2312" w:hint="eastAsia"/>
          <w:szCs w:val="32"/>
        </w:rPr>
        <w:t>防融合的防病体系。强化基层医疗机构公共卫生职责。明确医疗机构、镇（街</w:t>
      </w:r>
      <w:r>
        <w:rPr>
          <w:rFonts w:hint="eastAsia"/>
          <w:szCs w:val="32"/>
        </w:rPr>
        <w:t>道</w:t>
      </w:r>
      <w:r>
        <w:rPr>
          <w:rFonts w:ascii="仿宋_GB2312" w:hAnsi="仿宋_GB2312" w:cs="仿宋_GB2312" w:hint="eastAsia"/>
          <w:szCs w:val="32"/>
        </w:rPr>
        <w:t>）和村（社区）的公共卫生职责，完善监测、预警、报告、救治等公共卫生事件应对处置方案。建立医疗机构履行公共卫生职</w:t>
      </w:r>
      <w:r>
        <w:rPr>
          <w:rFonts w:ascii="仿宋_GB2312" w:hAnsi="仿宋_GB2312" w:cs="仿宋_GB2312" w:hint="eastAsia"/>
          <w:szCs w:val="32"/>
        </w:rPr>
        <w:t>责清单制度，适当增加基层医疗机构公共卫生科室人员编制，将医疗机构履行公共卫生职责纳入医院等级评审指标体系和年度医疗机构绩效考核范畴。推进公共卫生和临床医疗队伍融合。完善</w:t>
      </w:r>
      <w:proofErr w:type="gramStart"/>
      <w:r>
        <w:rPr>
          <w:rFonts w:ascii="仿宋_GB2312" w:hAnsi="仿宋_GB2312" w:cs="仿宋_GB2312" w:hint="eastAsia"/>
          <w:szCs w:val="32"/>
        </w:rPr>
        <w:t>疾控机构</w:t>
      </w:r>
      <w:proofErr w:type="gramEnd"/>
      <w:r>
        <w:rPr>
          <w:rFonts w:ascii="仿宋_GB2312" w:hAnsi="仿宋_GB2312" w:cs="仿宋_GB2312" w:hint="eastAsia"/>
          <w:szCs w:val="32"/>
        </w:rPr>
        <w:t>与医疗机构人员轮训机制，提高针对流行病、感染性疾病、呼吸与急危重症的诊治能力，促进临床素养和公共卫生</w:t>
      </w:r>
      <w:proofErr w:type="gramStart"/>
      <w:r>
        <w:rPr>
          <w:rFonts w:ascii="仿宋_GB2312" w:hAnsi="仿宋_GB2312" w:cs="仿宋_GB2312" w:hint="eastAsia"/>
          <w:szCs w:val="32"/>
        </w:rPr>
        <w:t>素养双</w:t>
      </w:r>
      <w:proofErr w:type="gramEnd"/>
      <w:r>
        <w:rPr>
          <w:rFonts w:ascii="仿宋_GB2312" w:hAnsi="仿宋_GB2312" w:cs="仿宋_GB2312" w:hint="eastAsia"/>
          <w:szCs w:val="32"/>
        </w:rPr>
        <w:t>提升。鼓励临床医师晋升公共卫生医师职称，支持临床医师参与预防保健工作。加强全科医生队伍建设，为居民提供公共卫生、基本医疗和健康管理相融合的服务。</w:t>
      </w:r>
      <w:bookmarkStart w:id="131" w:name="_Toc28499"/>
      <w:bookmarkStart w:id="132" w:name="_Toc4483"/>
      <w:bookmarkStart w:id="133" w:name="_Toc26754"/>
      <w:bookmarkStart w:id="134" w:name="_Toc13944"/>
      <w:bookmarkStart w:id="135" w:name="_Toc14268"/>
      <w:bookmarkStart w:id="136" w:name="_Toc12719"/>
      <w:bookmarkStart w:id="137" w:name="_Toc14706"/>
      <w:bookmarkStart w:id="138" w:name="_Toc11514"/>
      <w:bookmarkStart w:id="139" w:name="_Toc24739"/>
      <w:bookmarkStart w:id="140" w:name="_Toc28583"/>
      <w:bookmarkStart w:id="141" w:name="_Toc10303"/>
      <w:bookmarkStart w:id="142" w:name="_Toc8065"/>
      <w:bookmarkStart w:id="143" w:name="_Toc9711"/>
      <w:bookmarkStart w:id="144" w:name="_Toc9246"/>
      <w:bookmarkStart w:id="145" w:name="_Toc65153908"/>
      <w:bookmarkStart w:id="146" w:name="_Toc4376"/>
    </w:p>
    <w:p w:rsidR="00D70FB0" w:rsidRDefault="00EE7950">
      <w:pPr>
        <w:pStyle w:val="2"/>
        <w:adjustRightInd w:val="0"/>
        <w:snapToGrid w:val="0"/>
        <w:spacing w:before="0" w:after="0" w:line="560" w:lineRule="exact"/>
        <w:ind w:firstLineChars="131" w:firstLine="421"/>
        <w:rPr>
          <w:rFonts w:eastAsia="楷体" w:cs="黑体"/>
          <w:szCs w:val="22"/>
        </w:rPr>
      </w:pPr>
      <w:bookmarkStart w:id="147" w:name="_Toc84804947"/>
      <w:r>
        <w:rPr>
          <w:rFonts w:eastAsia="楷体" w:cs="黑体" w:hint="eastAsia"/>
          <w:szCs w:val="22"/>
        </w:rPr>
        <w:t>（二）巩固优化医疗卫生大格局</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D70FB0" w:rsidRDefault="00EE7950">
      <w:pPr>
        <w:pStyle w:val="3"/>
        <w:adjustRightInd w:val="0"/>
        <w:snapToGrid w:val="0"/>
        <w:spacing w:before="0" w:after="0" w:line="600" w:lineRule="exact"/>
        <w:ind w:firstLineChars="200" w:firstLine="643"/>
        <w:jc w:val="left"/>
        <w:rPr>
          <w:rFonts w:eastAsia="楷体" w:cs="黑体"/>
          <w:szCs w:val="22"/>
        </w:rPr>
      </w:pPr>
      <w:bookmarkStart w:id="148" w:name="_Toc84804948"/>
      <w:bookmarkStart w:id="149" w:name="_Toc12685"/>
      <w:bookmarkStart w:id="150" w:name="_Toc8851"/>
      <w:bookmarkStart w:id="151" w:name="_Toc183"/>
      <w:bookmarkStart w:id="152" w:name="_Toc21066"/>
      <w:bookmarkStart w:id="153" w:name="_Toc8373"/>
      <w:bookmarkStart w:id="154" w:name="_Toc3542"/>
      <w:bookmarkStart w:id="155" w:name="_Toc25607"/>
      <w:bookmarkStart w:id="156" w:name="_Toc14238"/>
      <w:bookmarkStart w:id="157" w:name="_Toc10138"/>
      <w:bookmarkStart w:id="158" w:name="_Toc6415"/>
      <w:bookmarkStart w:id="159" w:name="_Toc823"/>
      <w:bookmarkStart w:id="160" w:name="_Toc16222"/>
      <w:bookmarkStart w:id="161" w:name="_Toc65153909"/>
      <w:bookmarkStart w:id="162" w:name="_Toc12537"/>
      <w:bookmarkStart w:id="163" w:name="_Toc2476"/>
      <w:bookmarkStart w:id="164" w:name="_Toc11547"/>
      <w:bookmarkStart w:id="165" w:name="_Toc28426"/>
      <w:r>
        <w:rPr>
          <w:rFonts w:eastAsia="楷体" w:cs="黑体"/>
          <w:szCs w:val="22"/>
        </w:rPr>
        <w:t>1.</w:t>
      </w:r>
      <w:r>
        <w:rPr>
          <w:rFonts w:eastAsia="楷体" w:cs="黑体" w:hint="eastAsia"/>
          <w:szCs w:val="22"/>
        </w:rPr>
        <w:t>加快优质医疗资源扩容和均衡布局</w:t>
      </w:r>
      <w:bookmarkEnd w:id="148"/>
      <w:bookmarkEnd w:id="149"/>
      <w:bookmarkEnd w:id="150"/>
      <w:bookmarkEnd w:id="151"/>
      <w:bookmarkEnd w:id="152"/>
      <w:bookmarkEnd w:id="153"/>
      <w:bookmarkEnd w:id="154"/>
      <w:bookmarkEnd w:id="155"/>
      <w:bookmarkEnd w:id="156"/>
      <w:bookmarkEnd w:id="157"/>
    </w:p>
    <w:bookmarkEnd w:id="158"/>
    <w:bookmarkEnd w:id="159"/>
    <w:bookmarkEnd w:id="160"/>
    <w:bookmarkEnd w:id="161"/>
    <w:bookmarkEnd w:id="162"/>
    <w:bookmarkEnd w:id="163"/>
    <w:bookmarkEnd w:id="164"/>
    <w:p w:rsidR="00D70FB0" w:rsidRDefault="00EE7950">
      <w:pPr>
        <w:adjustRightInd w:val="0"/>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推动优质医疗资源扩容和区域均衡布局，提升医学科技创新能力，带动医疗服务区域发展和整体水平提升。优化医疗资源配置，加快分级诊疗和服务整合建设，推动服务理念从以治病为中心向以健康为中心转变，实现整合医疗卫生服务的最终目标，提升医疗卫生资源的可及性和便利性，提高医疗服务质量和效率。进一步深化以中心医院为总院、</w:t>
      </w:r>
      <w:r>
        <w:rPr>
          <w:rFonts w:ascii="仿宋_GB2312" w:eastAsia="仿宋_GB2312" w:hAnsi="仿宋_GB2312" w:cs="仿宋_GB2312" w:hint="eastAsia"/>
          <w:bCs/>
          <w:kern w:val="0"/>
          <w:sz w:val="32"/>
          <w:szCs w:val="32"/>
        </w:rPr>
        <w:t>18</w:t>
      </w:r>
      <w:r>
        <w:rPr>
          <w:rFonts w:ascii="仿宋_GB2312" w:eastAsia="仿宋_GB2312" w:hAnsi="仿宋_GB2312" w:cs="仿宋_GB2312" w:hint="eastAsia"/>
          <w:bCs/>
          <w:kern w:val="0"/>
          <w:sz w:val="32"/>
          <w:szCs w:val="32"/>
        </w:rPr>
        <w:t>所医疗卫生单位为成员单位的县域</w:t>
      </w:r>
      <w:proofErr w:type="gramStart"/>
      <w:r>
        <w:rPr>
          <w:rFonts w:ascii="仿宋_GB2312" w:eastAsia="仿宋_GB2312" w:hAnsi="仿宋_GB2312" w:cs="仿宋_GB2312" w:hint="eastAsia"/>
          <w:bCs/>
          <w:kern w:val="0"/>
          <w:sz w:val="32"/>
          <w:szCs w:val="32"/>
        </w:rPr>
        <w:t>医</w:t>
      </w:r>
      <w:proofErr w:type="gramEnd"/>
      <w:r>
        <w:rPr>
          <w:rFonts w:ascii="仿宋_GB2312" w:eastAsia="仿宋_GB2312" w:hAnsi="仿宋_GB2312" w:cs="仿宋_GB2312" w:hint="eastAsia"/>
          <w:bCs/>
          <w:kern w:val="0"/>
          <w:sz w:val="32"/>
          <w:szCs w:val="32"/>
        </w:rPr>
        <w:t>共体建设。支持开平市中心医院高质量发展，以加强信息化建设为切入点，通过远程会诊中心、影像诊疗中心、检验病理中心、教学培训中心、</w:t>
      </w:r>
      <w:r>
        <w:rPr>
          <w:rFonts w:ascii="仿宋_GB2312" w:eastAsia="仿宋_GB2312" w:hAnsi="仿宋_GB2312" w:cs="仿宋_GB2312" w:hint="eastAsia"/>
          <w:bCs/>
          <w:kern w:val="0"/>
          <w:sz w:val="32"/>
          <w:szCs w:val="32"/>
        </w:rPr>
        <w:lastRenderedPageBreak/>
        <w:t>消毒供应中心、病人转运中心的建设，建成互联网总</w:t>
      </w:r>
      <w:r>
        <w:rPr>
          <w:rFonts w:ascii="仿宋_GB2312" w:eastAsia="仿宋_GB2312" w:hAnsi="仿宋_GB2312" w:cs="仿宋_GB2312" w:hint="eastAsia"/>
          <w:bCs/>
          <w:kern w:val="0"/>
          <w:sz w:val="32"/>
          <w:szCs w:val="32"/>
        </w:rPr>
        <w:t>医院</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有效引导优质医疗资源向资源薄弱地区延伸，鼓励三甲医院扩容实现集团化发展。全面实施医疗服务能力提升计划，投资建立品牌化专科医疗集团，培育一批五</w:t>
      </w:r>
      <w:proofErr w:type="gramStart"/>
      <w:r>
        <w:rPr>
          <w:rFonts w:ascii="仿宋_GB2312" w:eastAsia="仿宋_GB2312" w:hAnsi="仿宋_GB2312" w:cs="仿宋_GB2312" w:hint="eastAsia"/>
          <w:bCs/>
          <w:kern w:val="0"/>
          <w:sz w:val="32"/>
          <w:szCs w:val="32"/>
        </w:rPr>
        <w:t>邑</w:t>
      </w:r>
      <w:proofErr w:type="gramEnd"/>
      <w:r>
        <w:rPr>
          <w:rFonts w:ascii="仿宋_GB2312" w:eastAsia="仿宋_GB2312" w:hAnsi="仿宋_GB2312" w:cs="仿宋_GB2312" w:hint="eastAsia"/>
          <w:bCs/>
          <w:kern w:val="0"/>
          <w:sz w:val="32"/>
          <w:szCs w:val="32"/>
        </w:rPr>
        <w:t>地区内具有竞争优势的专科医疗品牌。</w:t>
      </w:r>
    </w:p>
    <w:p w:rsidR="00D70FB0" w:rsidRDefault="00EE7950">
      <w:pPr>
        <w:keepNext/>
        <w:keepLines/>
        <w:adjustRightInd w:val="0"/>
        <w:snapToGrid w:val="0"/>
        <w:spacing w:line="600" w:lineRule="exact"/>
        <w:ind w:firstLineChars="200" w:firstLine="643"/>
        <w:jc w:val="left"/>
        <w:outlineLvl w:val="2"/>
        <w:rPr>
          <w:rFonts w:ascii="楷体" w:eastAsia="楷体" w:hAnsi="楷体" w:cs="楷体"/>
          <w:b/>
          <w:bCs/>
          <w:sz w:val="32"/>
        </w:rPr>
      </w:pPr>
      <w:bookmarkStart w:id="166" w:name="_Toc32201"/>
      <w:bookmarkStart w:id="167" w:name="_Toc24057"/>
      <w:bookmarkStart w:id="168" w:name="_Toc30753"/>
      <w:bookmarkStart w:id="169" w:name="_Toc17202"/>
      <w:bookmarkStart w:id="170" w:name="_Toc28354"/>
      <w:bookmarkStart w:id="171" w:name="_Toc20111"/>
      <w:bookmarkStart w:id="172" w:name="_Toc84804949"/>
      <w:bookmarkStart w:id="173" w:name="_Toc11596"/>
      <w:bookmarkStart w:id="174" w:name="_Toc20621"/>
      <w:bookmarkStart w:id="175" w:name="_Toc15146"/>
      <w:bookmarkStart w:id="176" w:name="_Toc7752"/>
      <w:bookmarkStart w:id="177" w:name="_Toc4316"/>
      <w:bookmarkStart w:id="178" w:name="_Toc65153910"/>
      <w:bookmarkStart w:id="179" w:name="_Toc21558"/>
      <w:bookmarkStart w:id="180" w:name="_Toc12894"/>
      <w:bookmarkStart w:id="181" w:name="_Toc17556"/>
      <w:bookmarkStart w:id="182" w:name="_Toc12875"/>
      <w:r>
        <w:rPr>
          <w:rFonts w:ascii="楷体" w:eastAsia="楷体" w:hAnsi="楷体" w:cs="楷体" w:hint="eastAsia"/>
          <w:b/>
          <w:bCs/>
          <w:sz w:val="32"/>
        </w:rPr>
        <w:t>2.</w:t>
      </w:r>
      <w:r>
        <w:rPr>
          <w:rFonts w:ascii="楷体" w:eastAsia="楷体" w:hAnsi="楷体" w:cs="楷体" w:hint="eastAsia"/>
          <w:b/>
          <w:bCs/>
          <w:sz w:val="32"/>
        </w:rPr>
        <w:t>进一步提升医疗服务能力</w:t>
      </w:r>
      <w:bookmarkEnd w:id="166"/>
      <w:bookmarkEnd w:id="167"/>
      <w:bookmarkEnd w:id="168"/>
      <w:bookmarkEnd w:id="169"/>
      <w:bookmarkEnd w:id="170"/>
      <w:bookmarkEnd w:id="171"/>
      <w:bookmarkEnd w:id="172"/>
      <w:bookmarkEnd w:id="173"/>
      <w:bookmarkEnd w:id="174"/>
      <w:bookmarkEnd w:id="175"/>
    </w:p>
    <w:bookmarkEnd w:id="176"/>
    <w:bookmarkEnd w:id="177"/>
    <w:bookmarkEnd w:id="178"/>
    <w:bookmarkEnd w:id="179"/>
    <w:bookmarkEnd w:id="180"/>
    <w:bookmarkEnd w:id="181"/>
    <w:bookmarkEnd w:id="182"/>
    <w:p w:rsidR="00D70FB0" w:rsidRDefault="00EE7950">
      <w:pPr>
        <w:adjustRightInd w:val="0"/>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强化对市级医院的人才和技术支持，推动我市龙头医院与国家医学中心、国家区域医疗中心、高水平医院远程医疗服务对接，提高疑难复杂危重疾病诊疗服务能力。支持发展高水平的医学检验、病理诊断、医学影像、消毒供应、血液净化、</w:t>
      </w:r>
      <w:proofErr w:type="gramStart"/>
      <w:r>
        <w:rPr>
          <w:rFonts w:ascii="仿宋_GB2312" w:eastAsia="仿宋_GB2312" w:hAnsi="仿宋_GB2312" w:cs="仿宋_GB2312" w:hint="eastAsia"/>
          <w:bCs/>
          <w:kern w:val="0"/>
          <w:sz w:val="32"/>
          <w:szCs w:val="32"/>
        </w:rPr>
        <w:t>安宁疗护等第</w:t>
      </w:r>
      <w:proofErr w:type="gramEnd"/>
      <w:r>
        <w:rPr>
          <w:rFonts w:ascii="仿宋_GB2312" w:eastAsia="仿宋_GB2312" w:hAnsi="仿宋_GB2312" w:cs="仿宋_GB2312" w:hint="eastAsia"/>
          <w:bCs/>
          <w:kern w:val="0"/>
          <w:sz w:val="32"/>
          <w:szCs w:val="32"/>
        </w:rPr>
        <w:t>三</w:t>
      </w:r>
      <w:proofErr w:type="gramStart"/>
      <w:r>
        <w:rPr>
          <w:rFonts w:ascii="仿宋_GB2312" w:eastAsia="仿宋_GB2312" w:hAnsi="仿宋_GB2312" w:cs="仿宋_GB2312" w:hint="eastAsia"/>
          <w:bCs/>
          <w:kern w:val="0"/>
          <w:sz w:val="32"/>
          <w:szCs w:val="32"/>
        </w:rPr>
        <w:t>方专业</w:t>
      </w:r>
      <w:proofErr w:type="gramEnd"/>
      <w:r>
        <w:rPr>
          <w:rFonts w:ascii="仿宋_GB2312" w:eastAsia="仿宋_GB2312" w:hAnsi="仿宋_GB2312" w:cs="仿宋_GB2312" w:hint="eastAsia"/>
          <w:bCs/>
          <w:kern w:val="0"/>
          <w:sz w:val="32"/>
          <w:szCs w:val="32"/>
        </w:rPr>
        <w:t>机构。以“名医、名术”为核心，鼓励发展各类医生集团和特色诊所。加强临床</w:t>
      </w:r>
      <w:r>
        <w:rPr>
          <w:rFonts w:ascii="仿宋_GB2312" w:eastAsia="仿宋_GB2312" w:hAnsi="仿宋_GB2312" w:cs="仿宋_GB2312" w:hint="eastAsia"/>
          <w:bCs/>
          <w:kern w:val="0"/>
          <w:sz w:val="32"/>
          <w:szCs w:val="32"/>
        </w:rPr>
        <w:t>专科和管理能力建设，根据居民诊疗需求、县域外转诊等情况加强薄弱专科建设。发展急诊、妇产科、儿科、重症医学科、中医科、精神科、老年医学科、康复医学科、感染性疾病科等学科，提升肿瘤、心脑血管疾病、感染性疾病等重大疾病诊疗能力，推动建立相关专病中心。针对重点人群多元化健康需求，加强中医院、妇幼保健机构和综合性医院中医、妇女保健、儿童保健专科建设。</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183" w:name="_Toc24914"/>
      <w:bookmarkStart w:id="184" w:name="_Toc20515"/>
      <w:bookmarkStart w:id="185" w:name="_Toc8054"/>
      <w:bookmarkStart w:id="186" w:name="_Toc21038"/>
      <w:bookmarkStart w:id="187" w:name="_Toc65153912"/>
      <w:bookmarkStart w:id="188" w:name="_Toc23591"/>
      <w:bookmarkStart w:id="189" w:name="_Toc7915"/>
      <w:bookmarkStart w:id="190" w:name="_Toc3237"/>
      <w:bookmarkStart w:id="191" w:name="_Toc84804950"/>
      <w:bookmarkStart w:id="192" w:name="_Toc29675"/>
      <w:bookmarkStart w:id="193" w:name="_Toc9361"/>
      <w:bookmarkStart w:id="194" w:name="_Toc30922"/>
      <w:bookmarkStart w:id="195" w:name="_Toc22646"/>
      <w:bookmarkStart w:id="196" w:name="_Toc26762"/>
      <w:bookmarkStart w:id="197" w:name="_Toc31932"/>
      <w:bookmarkStart w:id="198" w:name="_Toc10596"/>
      <w:bookmarkStart w:id="199" w:name="_Toc3640"/>
      <w:r>
        <w:rPr>
          <w:rFonts w:ascii="Calibri" w:eastAsia="楷体" w:hAnsi="Calibri" w:cs="黑体"/>
          <w:b/>
          <w:bCs/>
          <w:sz w:val="32"/>
        </w:rPr>
        <w:t>3.</w:t>
      </w:r>
      <w:r>
        <w:rPr>
          <w:rFonts w:ascii="Calibri" w:eastAsia="楷体" w:hAnsi="Calibri" w:cs="黑体" w:hint="eastAsia"/>
          <w:b/>
          <w:bCs/>
          <w:sz w:val="32"/>
        </w:rPr>
        <w:t>巩固基层医疗卫生服务网底</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D70FB0" w:rsidRDefault="00EE7950">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按照“</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街道</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中心、一镇一院、一村一站”完善基层医疗卫生机构布局，人口较多、服务半径较大的地区可适当增设。落实基层医疗卫生机构“一类财政保障，二类绩效管理”，不断完善基层医疗卫生机构和人员的绩效考核机制。</w:t>
      </w:r>
      <w:r>
        <w:rPr>
          <w:rFonts w:ascii="仿宋_GB2312" w:eastAsia="仿宋_GB2312" w:hAnsi="仿宋_GB2312" w:cs="仿宋_GB2312" w:hint="eastAsia"/>
          <w:sz w:val="32"/>
          <w:szCs w:val="32"/>
        </w:rPr>
        <w:lastRenderedPageBreak/>
        <w:t>提高我市医疗服务能力和镇（街</w:t>
      </w:r>
      <w:r>
        <w:rPr>
          <w:rFonts w:ascii="Calibri" w:eastAsia="仿宋_GB2312" w:hAnsi="Calibri" w:cs="黑体" w:hint="eastAsia"/>
          <w:sz w:val="32"/>
          <w:szCs w:val="32"/>
        </w:rPr>
        <w:t>道</w:t>
      </w:r>
      <w:r>
        <w:rPr>
          <w:rFonts w:ascii="仿宋_GB2312" w:eastAsia="仿宋_GB2312" w:hAnsi="仿宋_GB2312" w:cs="仿宋_GB2312" w:hint="eastAsia"/>
          <w:sz w:val="32"/>
          <w:szCs w:val="32"/>
        </w:rPr>
        <w:t>）基层首诊能力，加快完善分级诊疗体系。县域</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共体总院对县域内各分院实行“卫生人才分片区组团式帮扶”，深度参与分院管理与学科建设。强化常见病多发病诊治、常规手术、传染病筛查、公共卫生服务和健康管理能力。开展常见慢性病患者治疗以及冠心病、脑卒中等疾病的社区预防、健康教育和康复。建立</w:t>
      </w:r>
      <w:r>
        <w:rPr>
          <w:rFonts w:ascii="仿宋_GB2312" w:eastAsia="仿宋_GB2312" w:hAnsi="仿宋_GB2312" w:cs="仿宋_GB2312" w:hint="eastAsia"/>
          <w:sz w:val="32"/>
          <w:szCs w:val="32"/>
        </w:rPr>
        <w:t>慢性病中医药监测与信息管理制度，推动建立融入中医药内容的社区健康管理模式，开展高危人群中医药健康干预，提升基层中医药健康管理水平。推进基层医疗卫生机构规范化建设，逐步提高妇产科、口腔科、眼科、康复科诊疗能力。坚决贯彻预防为主，防治结合的重大方针，建立覆盖生命全周期的大健康战略体系，全面推进“健康开平”稳步发展。持续推动各级医院全面落实改善医疗服务行动，包括建立预约诊疗制度、完善远程医疗制度、推动结果互认制度、推进区域就诊“一卡通”、持续加强麻醉医疗服务、推广多学科诊疗服务、丰富日间医疗服务内涵、优化急诊急救</w:t>
      </w:r>
      <w:r>
        <w:rPr>
          <w:rFonts w:ascii="仿宋_GB2312" w:eastAsia="仿宋_GB2312" w:hAnsi="仿宋_GB2312" w:cs="仿宋_GB2312" w:hint="eastAsia"/>
          <w:sz w:val="32"/>
          <w:szCs w:val="32"/>
        </w:rPr>
        <w:t>服务、提高老年护理服务质量等措施，着实提升医疗服务水平，人民群众看病就医感受明显改善，患者满意度、社会满意度、医务人员满意度明显提高，医患关系更加和谐。</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200" w:name="_Toc3373"/>
      <w:bookmarkStart w:id="201" w:name="_Toc1446"/>
      <w:bookmarkStart w:id="202" w:name="_Toc65153913"/>
      <w:bookmarkStart w:id="203" w:name="_Toc5120"/>
      <w:bookmarkStart w:id="204" w:name="_Toc12968"/>
      <w:bookmarkStart w:id="205" w:name="_Toc11280"/>
      <w:bookmarkStart w:id="206" w:name="_Toc1677"/>
      <w:bookmarkStart w:id="207" w:name="_Toc19869"/>
      <w:bookmarkStart w:id="208" w:name="_Toc28819"/>
      <w:bookmarkStart w:id="209" w:name="_Toc19952"/>
      <w:bookmarkStart w:id="210" w:name="_Toc30701"/>
      <w:bookmarkStart w:id="211" w:name="_Toc26189"/>
      <w:bookmarkStart w:id="212" w:name="_Toc7228"/>
      <w:bookmarkStart w:id="213" w:name="_Toc24251"/>
      <w:bookmarkStart w:id="214" w:name="_Toc1586"/>
      <w:bookmarkStart w:id="215" w:name="_Toc6919"/>
      <w:bookmarkStart w:id="216" w:name="_Toc84804951"/>
      <w:r>
        <w:rPr>
          <w:rFonts w:ascii="Calibri" w:eastAsia="楷体" w:hAnsi="Calibri" w:cs="黑体"/>
          <w:b/>
          <w:bCs/>
          <w:sz w:val="32"/>
        </w:rPr>
        <w:t>4.</w:t>
      </w:r>
      <w:r>
        <w:rPr>
          <w:rFonts w:ascii="Calibri" w:eastAsia="楷体" w:hAnsi="Calibri" w:cs="黑体" w:hint="eastAsia"/>
          <w:b/>
          <w:bCs/>
          <w:sz w:val="32"/>
        </w:rPr>
        <w:t>改善优化医疗卫生服务</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D70FB0" w:rsidRDefault="00EE7950">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完善医疗质量安全管理制度和规范，严格落实医疗质量安全核心制度。持续推动各级医院全面落实改善医疗服务行动，包括完善远程医疗制度、推动结果互认制度、持续加强麻醉医疗服务、推广多学科诊疗服务等措施。规范诊疗行为，</w:t>
      </w:r>
      <w:r>
        <w:rPr>
          <w:rFonts w:ascii="仿宋_GB2312" w:eastAsia="仿宋_GB2312" w:hAnsi="仿宋_GB2312" w:cs="仿宋_GB2312" w:hint="eastAsia"/>
          <w:sz w:val="32"/>
          <w:szCs w:val="32"/>
        </w:rPr>
        <w:lastRenderedPageBreak/>
        <w:t>推进全面实施临床路径管理，健全医疗技术临床应用监管，严控院内感染。进一步优化就诊环境，推进预约诊疗服务，推行日间手术，提供医疗</w:t>
      </w:r>
      <w:r>
        <w:rPr>
          <w:rFonts w:ascii="仿宋_GB2312" w:eastAsia="仿宋_GB2312" w:hAnsi="仿宋_GB2312" w:cs="仿宋_GB2312" w:hint="eastAsia"/>
          <w:sz w:val="32"/>
          <w:szCs w:val="32"/>
        </w:rPr>
        <w:t>救治绿色通道和一体化综合救治服务。建设城乡区域全覆盖、立体化全方位院前急救服务体系。建立胸痛、创伤、卒中、危重</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产妇、危重儿童和新生儿等重大急性病救治中心。逐步建立健全血液供应保障机制。健全化解医疗纠纷的长效机制，构建和谐医患关系。</w:t>
      </w:r>
      <w:bookmarkEnd w:id="165"/>
    </w:p>
    <w:p w:rsidR="00D70FB0" w:rsidRDefault="00EE7950">
      <w:pPr>
        <w:keepNext/>
        <w:keepLines/>
        <w:tabs>
          <w:tab w:val="left" w:pos="360"/>
        </w:tabs>
        <w:adjustRightInd w:val="0"/>
        <w:snapToGrid w:val="0"/>
        <w:spacing w:line="560" w:lineRule="exact"/>
        <w:ind w:firstLineChars="200" w:firstLine="643"/>
        <w:outlineLvl w:val="1"/>
        <w:rPr>
          <w:rFonts w:ascii="Arial" w:eastAsia="楷体" w:hAnsi="Arial" w:cs="黑体"/>
          <w:b/>
          <w:sz w:val="32"/>
        </w:rPr>
      </w:pPr>
      <w:bookmarkStart w:id="217" w:name="_Toc11667"/>
      <w:bookmarkStart w:id="218" w:name="_Toc28013"/>
      <w:bookmarkStart w:id="219" w:name="_Toc28209"/>
      <w:bookmarkStart w:id="220" w:name="_Toc2869"/>
      <w:bookmarkStart w:id="221" w:name="_Toc26238"/>
      <w:bookmarkStart w:id="222" w:name="_Toc22570"/>
      <w:bookmarkStart w:id="223" w:name="_Toc17532"/>
      <w:bookmarkStart w:id="224" w:name="_Toc65153914"/>
      <w:bookmarkStart w:id="225" w:name="_Toc11"/>
      <w:bookmarkStart w:id="226" w:name="_Toc6833"/>
      <w:bookmarkStart w:id="227" w:name="_Toc3522"/>
      <w:bookmarkStart w:id="228" w:name="_Toc22264"/>
      <w:bookmarkStart w:id="229" w:name="_Toc32726"/>
      <w:bookmarkStart w:id="230" w:name="_Toc16675"/>
      <w:bookmarkStart w:id="231" w:name="_Toc14276"/>
      <w:bookmarkStart w:id="232" w:name="_Toc22958"/>
      <w:bookmarkStart w:id="233" w:name="_Toc32225"/>
      <w:bookmarkStart w:id="234" w:name="_Toc84804952"/>
      <w:bookmarkStart w:id="235" w:name="_Toc24813"/>
      <w:bookmarkStart w:id="236" w:name="_Toc4788"/>
      <w:bookmarkStart w:id="237" w:name="_Toc21847"/>
      <w:bookmarkStart w:id="238" w:name="_Toc12502"/>
      <w:bookmarkStart w:id="239" w:name="_Toc19510"/>
      <w:bookmarkStart w:id="240" w:name="_Toc60037622"/>
      <w:bookmarkStart w:id="241" w:name="_Toc13713"/>
      <w:r>
        <w:rPr>
          <w:rFonts w:ascii="Arial" w:eastAsia="楷体" w:hAnsi="Arial" w:cs="黑体" w:hint="eastAsia"/>
          <w:b/>
          <w:sz w:val="32"/>
        </w:rPr>
        <w:t>（三）全方位干预主要健康问题</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242" w:name="_Toc5638"/>
      <w:bookmarkStart w:id="243" w:name="_Toc6359"/>
      <w:bookmarkStart w:id="244" w:name="_Toc18862"/>
      <w:bookmarkStart w:id="245" w:name="_Toc7861"/>
      <w:bookmarkStart w:id="246" w:name="_Toc20061"/>
      <w:bookmarkStart w:id="247" w:name="_Toc9613"/>
      <w:bookmarkStart w:id="248" w:name="_Toc65153915"/>
      <w:bookmarkStart w:id="249" w:name="_Toc14888"/>
      <w:bookmarkStart w:id="250" w:name="_Toc2626"/>
      <w:bookmarkStart w:id="251" w:name="_Toc2096"/>
      <w:bookmarkStart w:id="252" w:name="_Toc14793"/>
      <w:bookmarkStart w:id="253" w:name="_Toc28739"/>
      <w:bookmarkStart w:id="254" w:name="_Toc24437"/>
      <w:bookmarkStart w:id="255" w:name="_Toc17273"/>
      <w:bookmarkStart w:id="256" w:name="_Toc20630"/>
      <w:bookmarkStart w:id="257" w:name="_Toc24254"/>
      <w:bookmarkStart w:id="258" w:name="_Toc84804953"/>
      <w:r>
        <w:rPr>
          <w:rFonts w:ascii="Calibri" w:eastAsia="楷体" w:hAnsi="Calibri" w:cs="黑体"/>
          <w:b/>
          <w:bCs/>
          <w:sz w:val="32"/>
        </w:rPr>
        <w:t>1.</w:t>
      </w:r>
      <w:r>
        <w:rPr>
          <w:rFonts w:ascii="Calibri" w:eastAsia="楷体" w:hAnsi="Calibri" w:cs="黑体" w:hint="eastAsia"/>
          <w:b/>
          <w:bCs/>
          <w:sz w:val="32"/>
        </w:rPr>
        <w:t>推进健康开平行动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D70FB0" w:rsidRDefault="00EE7950">
      <w:pPr>
        <w:tabs>
          <w:tab w:val="left" w:pos="3686"/>
        </w:tabs>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实施健康</w:t>
      </w:r>
      <w:proofErr w:type="gramStart"/>
      <w:r>
        <w:rPr>
          <w:rFonts w:ascii="仿宋_GB2312" w:eastAsia="仿宋_GB2312" w:hAnsi="仿宋_GB2312" w:cs="仿宋_GB2312" w:hint="eastAsia"/>
          <w:bCs/>
          <w:sz w:val="32"/>
          <w:szCs w:val="32"/>
        </w:rPr>
        <w:t>开平专项</w:t>
      </w:r>
      <w:proofErr w:type="gramEnd"/>
      <w:r>
        <w:rPr>
          <w:rFonts w:ascii="仿宋_GB2312" w:eastAsia="仿宋_GB2312" w:hAnsi="仿宋_GB2312" w:cs="仿宋_GB2312" w:hint="eastAsia"/>
          <w:bCs/>
          <w:sz w:val="32"/>
          <w:szCs w:val="32"/>
        </w:rPr>
        <w:t>行动，突出开平特色，强化政府、社会、个人责任，形成共建共享社会氛围。推进健康知识普及、合理膳食、全民健身、心理健康、健康环境、控烟等健康促进行动，加强健康影响因素干预。对孕产妇、婴幼儿、学生、职业人群和老年人等</w:t>
      </w:r>
      <w:r>
        <w:rPr>
          <w:rFonts w:ascii="仿宋_GB2312" w:eastAsia="仿宋_GB2312" w:hAnsi="仿宋_GB2312" w:cs="仿宋_GB2312" w:hint="eastAsia"/>
          <w:bCs/>
          <w:sz w:val="32"/>
          <w:szCs w:val="32"/>
        </w:rPr>
        <w:t>开展针对性的健康促进行动和预防保健服务，实现全生命周期健康维护。加强传染病、地方病防控、慢性病筛查和早期发现，针对高发地区重点癌症开展早诊早治工作。推进塑造</w:t>
      </w:r>
      <w:proofErr w:type="gramStart"/>
      <w:r>
        <w:rPr>
          <w:rFonts w:ascii="仿宋_GB2312" w:eastAsia="仿宋_GB2312" w:hAnsi="仿宋_GB2312" w:cs="仿宋_GB2312" w:hint="eastAsia"/>
          <w:bCs/>
          <w:sz w:val="32"/>
          <w:szCs w:val="32"/>
        </w:rPr>
        <w:t>健康湾</w:t>
      </w:r>
      <w:proofErr w:type="gramEnd"/>
      <w:r>
        <w:rPr>
          <w:rFonts w:ascii="仿宋_GB2312" w:eastAsia="仿宋_GB2312" w:hAnsi="仿宋_GB2312" w:cs="仿宋_GB2312" w:hint="eastAsia"/>
          <w:bCs/>
          <w:sz w:val="32"/>
          <w:szCs w:val="32"/>
        </w:rPr>
        <w:t>区、中医药健康服务和智慧健康行动，提升健康开平服务内涵。建立健全健康促进与教育体系，面向家庭和个人普及维护健康的知识与技能。到</w:t>
      </w:r>
      <w:r>
        <w:rPr>
          <w:rFonts w:ascii="仿宋_GB2312" w:eastAsia="仿宋_GB2312" w:hAnsi="仿宋_GB2312" w:cs="仿宋_GB2312"/>
          <w:bCs/>
          <w:sz w:val="32"/>
          <w:szCs w:val="32"/>
        </w:rPr>
        <w:t>2025</w:t>
      </w:r>
      <w:r>
        <w:rPr>
          <w:rFonts w:ascii="仿宋_GB2312" w:eastAsia="仿宋_GB2312" w:hAnsi="仿宋_GB2312" w:cs="仿宋_GB2312" w:hint="eastAsia"/>
          <w:bCs/>
          <w:sz w:val="32"/>
          <w:szCs w:val="32"/>
        </w:rPr>
        <w:t>年，居民健康素养水平稳步提高，健康生活方式加快推广，居民主要健康影响因素得到有效控制。</w:t>
      </w:r>
      <w:bookmarkStart w:id="259" w:name="_Toc26565"/>
    </w:p>
    <w:p w:rsidR="00D70FB0" w:rsidRDefault="00EE7950">
      <w:pPr>
        <w:keepNext/>
        <w:keepLines/>
        <w:spacing w:line="600" w:lineRule="exact"/>
        <w:ind w:firstLineChars="200" w:firstLine="643"/>
        <w:jc w:val="left"/>
        <w:outlineLvl w:val="2"/>
        <w:rPr>
          <w:rFonts w:ascii="楷体" w:eastAsia="楷体" w:hAnsi="楷体" w:cs="黑体"/>
          <w:bCs/>
          <w:sz w:val="32"/>
        </w:rPr>
      </w:pPr>
      <w:bookmarkStart w:id="260" w:name="_Toc26481"/>
      <w:bookmarkStart w:id="261" w:name="_Toc8108"/>
      <w:bookmarkStart w:id="262" w:name="_Toc65153916"/>
      <w:bookmarkStart w:id="263" w:name="_Toc645"/>
      <w:bookmarkStart w:id="264" w:name="_Toc2385"/>
      <w:bookmarkStart w:id="265" w:name="_Toc18855"/>
      <w:bookmarkStart w:id="266" w:name="_Toc19088"/>
      <w:bookmarkStart w:id="267" w:name="_Toc26711"/>
      <w:bookmarkStart w:id="268" w:name="_Toc4459"/>
      <w:bookmarkStart w:id="269" w:name="_Toc5374"/>
      <w:bookmarkStart w:id="270" w:name="_Toc1340"/>
      <w:bookmarkStart w:id="271" w:name="_Toc31345"/>
      <w:bookmarkStart w:id="272" w:name="_Toc84804954"/>
      <w:r>
        <w:rPr>
          <w:rFonts w:ascii="楷体" w:eastAsia="楷体" w:hAnsi="楷体" w:cs="黑体"/>
          <w:b/>
          <w:bCs/>
          <w:sz w:val="32"/>
        </w:rPr>
        <w:t>2.</w:t>
      </w:r>
      <w:r>
        <w:rPr>
          <w:rFonts w:ascii="楷体" w:eastAsia="楷体" w:hAnsi="楷体" w:cs="黑体" w:hint="eastAsia"/>
          <w:b/>
          <w:bCs/>
          <w:sz w:val="32"/>
        </w:rPr>
        <w:t>加强健康促进与教育</w:t>
      </w:r>
      <w:bookmarkEnd w:id="260"/>
      <w:bookmarkEnd w:id="261"/>
      <w:bookmarkEnd w:id="262"/>
      <w:bookmarkEnd w:id="263"/>
      <w:bookmarkEnd w:id="264"/>
      <w:bookmarkEnd w:id="265"/>
      <w:bookmarkEnd w:id="266"/>
      <w:bookmarkEnd w:id="267"/>
      <w:bookmarkEnd w:id="268"/>
      <w:bookmarkEnd w:id="269"/>
      <w:bookmarkEnd w:id="270"/>
      <w:bookmarkEnd w:id="271"/>
      <w:bookmarkEnd w:id="272"/>
    </w:p>
    <w:p w:rsidR="00D70FB0" w:rsidRDefault="00EE7950">
      <w:pPr>
        <w:tabs>
          <w:tab w:val="left" w:pos="3686"/>
        </w:tabs>
        <w:spacing w:line="560" w:lineRule="exact"/>
        <w:ind w:firstLineChars="200" w:firstLine="643"/>
        <w:jc w:val="left"/>
        <w:rPr>
          <w:rFonts w:ascii="仿宋_GB2312" w:eastAsia="仿宋_GB2312" w:hAnsi="仿宋_GB2312" w:cs="仿宋_GB2312"/>
          <w:bCs/>
          <w:sz w:val="32"/>
          <w:szCs w:val="32"/>
        </w:rPr>
      </w:pPr>
      <w:r>
        <w:rPr>
          <w:rFonts w:ascii="仿宋_GB2312" w:eastAsia="仿宋_GB2312" w:hAnsi="仿宋_GB2312" w:cs="仿宋_GB2312" w:hint="eastAsia"/>
          <w:b/>
          <w:sz w:val="32"/>
          <w:szCs w:val="32"/>
        </w:rPr>
        <w:t>建立健全健康教育体系。</w:t>
      </w:r>
      <w:r>
        <w:rPr>
          <w:rFonts w:ascii="仿宋_GB2312" w:eastAsia="仿宋_GB2312" w:hAnsi="仿宋_GB2312" w:cs="仿宋_GB2312" w:hint="eastAsia"/>
          <w:bCs/>
          <w:sz w:val="32"/>
          <w:szCs w:val="32"/>
        </w:rPr>
        <w:t>完善全民健康教育体系，健全健康教育宣传体系，帮助全市居民牢固树立自我健康管理意</w:t>
      </w:r>
      <w:r>
        <w:rPr>
          <w:rFonts w:ascii="仿宋_GB2312" w:eastAsia="仿宋_GB2312" w:hAnsi="仿宋_GB2312" w:cs="仿宋_GB2312" w:hint="eastAsia"/>
          <w:bCs/>
          <w:sz w:val="32"/>
          <w:szCs w:val="32"/>
        </w:rPr>
        <w:lastRenderedPageBreak/>
        <w:t>识。建立市、区、镇（街道）、村四级健康教育专门机构，完善健康教育网络，开展规范制定、组织实施、监督评估等工作。建立传统健康教育基地和健康教育专家库，健全健康知识和技能信息发布制度。针对影响群众健康的主要因素和问题，建立居民健康素养基本知识和技能传播资源库，构建数字化健康传播平台。加强健康教育专业人员能力建设，加强医院、专业公共卫生机构、基层卫生健康机构和重点场所健康教育工作人员能力培养，定期开展健康教育专业培训。加强健康教育能力建</w:t>
      </w:r>
      <w:r>
        <w:rPr>
          <w:rFonts w:ascii="仿宋_GB2312" w:eastAsia="仿宋_GB2312" w:hAnsi="仿宋_GB2312" w:cs="仿宋_GB2312" w:hint="eastAsia"/>
          <w:bCs/>
          <w:sz w:val="32"/>
          <w:szCs w:val="32"/>
        </w:rPr>
        <w:t>设，推进医疗机构开展健康教育和健康促进工作。</w:t>
      </w:r>
    </w:p>
    <w:p w:rsidR="00D70FB0" w:rsidRDefault="00EE7950">
      <w:pPr>
        <w:tabs>
          <w:tab w:val="left" w:pos="3686"/>
        </w:tabs>
        <w:spacing w:line="560" w:lineRule="exact"/>
        <w:ind w:firstLineChars="200" w:firstLine="643"/>
        <w:jc w:val="left"/>
        <w:rPr>
          <w:rFonts w:ascii="仿宋_GB2312" w:eastAsia="仿宋_GB2312" w:hAnsi="仿宋_GB2312" w:cs="仿宋_GB2312"/>
          <w:bCs/>
          <w:sz w:val="32"/>
          <w:szCs w:val="32"/>
        </w:rPr>
      </w:pPr>
      <w:r>
        <w:rPr>
          <w:rFonts w:ascii="仿宋_GB2312" w:eastAsia="仿宋_GB2312" w:hAnsi="仿宋_GB2312" w:cs="仿宋_GB2312" w:hint="eastAsia"/>
          <w:b/>
          <w:sz w:val="32"/>
          <w:szCs w:val="32"/>
        </w:rPr>
        <w:t>提升全民健康素养水平。</w:t>
      </w:r>
      <w:r>
        <w:rPr>
          <w:rFonts w:ascii="仿宋_GB2312" w:eastAsia="仿宋_GB2312" w:hAnsi="仿宋_GB2312" w:cs="仿宋_GB2312" w:hint="eastAsia"/>
          <w:bCs/>
          <w:sz w:val="32"/>
          <w:szCs w:val="32"/>
        </w:rPr>
        <w:t>加强健康科普规范化管理，建立健全健康知识和技能核心信息发布制度。倡导健康文明的生活方式，引导群众加强自我健康管理，开展家庭和高危个体健康生活方式强化指导和干预。鼓励和引导媒体办好健康类栏目，加大公益宣传力度，引导公众科学理性应对健康风险。推进</w:t>
      </w:r>
      <w:r>
        <w:rPr>
          <w:rFonts w:ascii="仿宋_GB2312" w:eastAsia="仿宋_GB2312" w:hAnsi="仿宋_GB2312" w:cs="仿宋_GB2312" w:hint="eastAsia"/>
          <w:bCs/>
          <w:sz w:val="32"/>
          <w:szCs w:val="32"/>
        </w:rPr>
        <w:t>12320</w:t>
      </w:r>
      <w:r>
        <w:rPr>
          <w:rFonts w:ascii="仿宋_GB2312" w:eastAsia="仿宋_GB2312" w:hAnsi="仿宋_GB2312" w:cs="仿宋_GB2312" w:hint="eastAsia"/>
          <w:bCs/>
          <w:sz w:val="32"/>
          <w:szCs w:val="32"/>
        </w:rPr>
        <w:t>健康服务热线建设，打造健康科普平台。建设健康促进场所，推广健康主题公园。逐步提升我市居民健康素养水平，到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年居民健康素养水平达到</w:t>
      </w: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以上。</w:t>
      </w:r>
    </w:p>
    <w:p w:rsidR="00D70FB0" w:rsidRDefault="00EE7950">
      <w:pPr>
        <w:keepNext/>
        <w:keepLines/>
        <w:adjustRightInd w:val="0"/>
        <w:snapToGrid w:val="0"/>
        <w:spacing w:line="600" w:lineRule="exact"/>
        <w:ind w:firstLineChars="200" w:firstLine="643"/>
        <w:jc w:val="left"/>
        <w:outlineLvl w:val="2"/>
        <w:rPr>
          <w:rFonts w:ascii="楷体" w:eastAsia="楷体" w:hAnsi="楷体" w:cs="黑体"/>
          <w:b/>
          <w:bCs/>
          <w:sz w:val="32"/>
        </w:rPr>
      </w:pPr>
      <w:bookmarkStart w:id="273" w:name="_Toc26472"/>
      <w:bookmarkStart w:id="274" w:name="_Toc65153917"/>
      <w:bookmarkStart w:id="275" w:name="_Toc17100"/>
      <w:bookmarkStart w:id="276" w:name="_Toc30660"/>
      <w:bookmarkStart w:id="277" w:name="_Toc7449"/>
      <w:bookmarkStart w:id="278" w:name="_Toc23292"/>
      <w:bookmarkStart w:id="279" w:name="_Toc25124"/>
      <w:bookmarkStart w:id="280" w:name="_Toc16108"/>
      <w:bookmarkStart w:id="281" w:name="_Toc27415"/>
      <w:bookmarkStart w:id="282" w:name="_Toc25789"/>
      <w:bookmarkStart w:id="283" w:name="_Toc23362"/>
      <w:bookmarkStart w:id="284" w:name="_Toc1820"/>
      <w:bookmarkStart w:id="285" w:name="_Toc15056"/>
      <w:bookmarkStart w:id="286" w:name="_Toc9347"/>
      <w:bookmarkStart w:id="287" w:name="_Toc31987"/>
      <w:bookmarkStart w:id="288" w:name="_Toc28926"/>
      <w:bookmarkStart w:id="289" w:name="_Toc84804955"/>
      <w:r>
        <w:rPr>
          <w:rFonts w:ascii="楷体" w:eastAsia="楷体" w:hAnsi="楷体" w:cs="黑体"/>
          <w:b/>
          <w:bCs/>
          <w:sz w:val="32"/>
        </w:rPr>
        <w:t>3.</w:t>
      </w:r>
      <w:r>
        <w:rPr>
          <w:rFonts w:ascii="楷体" w:eastAsia="楷体" w:hAnsi="楷体" w:cs="黑体" w:hint="eastAsia"/>
          <w:b/>
          <w:bCs/>
          <w:sz w:val="32"/>
        </w:rPr>
        <w:t>深入开展爱国卫生运动</w:t>
      </w:r>
      <w:bookmarkStart w:id="290" w:name="_Toc28671"/>
      <w:bookmarkEnd w:id="25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D70FB0" w:rsidRDefault="00EE7950">
      <w:pPr>
        <w:tabs>
          <w:tab w:val="left" w:pos="3686"/>
        </w:tabs>
        <w:adjustRightInd w:val="0"/>
        <w:snapToGrid w:val="0"/>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丰富爱国卫生运动内涵和创新工作方式方法。创新社会动员和群众参与工作方式，鼓励社会组织开展志愿服务、健康自我管理小组、社区健康讲堂等活动。推进城乡环境卫生综合治理。加快推进以城乡环境卫生整治为重点的常态化爱国卫生运动和健康教育工作，把健康融入城乡建设、治理、</w:t>
      </w:r>
      <w:r>
        <w:rPr>
          <w:rFonts w:ascii="仿宋_GB2312" w:eastAsia="仿宋_GB2312" w:hAnsi="仿宋_GB2312" w:cs="仿宋_GB2312" w:hint="eastAsia"/>
          <w:bCs/>
          <w:sz w:val="32"/>
          <w:szCs w:val="32"/>
        </w:rPr>
        <w:lastRenderedPageBreak/>
        <w:t>发展全过程，引导城乡居民养成文明卫生的生活习惯。大力推进卫生城镇创建。全面开展城区城乡卫生综合整治，积极创建卫生基础设施较为完善、卫生管理水平较高、群众卫生习惯较好的卫生镇、村，全力争创国家卫生镇。全面开展健康城市和健康细胞建设。着力改善城乡环境卫生面貌。</w:t>
      </w:r>
      <w:r>
        <w:rPr>
          <w:rFonts w:ascii="仿宋_GB2312" w:eastAsia="仿宋_GB2312" w:hAnsi="仿宋_GB2312" w:cs="仿宋_GB2312" w:hint="eastAsia"/>
          <w:bCs/>
          <w:sz w:val="32"/>
          <w:szCs w:val="32"/>
        </w:rPr>
        <w:t>全面推进健康城市和健康村镇建设。开展健康城市综合示范建设，形成可推广的健康城市建设模式。广泛开展健康社区、健康单位、健康学校、健康家庭建设。开展健康城市建设效果评价，实现科学、动态管理。推进健康村镇建设，提高农村居民卫生素质和健康水平。</w:t>
      </w:r>
    </w:p>
    <w:p w:rsidR="00D70FB0" w:rsidRDefault="00EE7950">
      <w:pPr>
        <w:keepNext/>
        <w:keepLines/>
        <w:spacing w:line="600" w:lineRule="exact"/>
        <w:ind w:firstLineChars="200" w:firstLine="643"/>
        <w:jc w:val="left"/>
        <w:outlineLvl w:val="2"/>
        <w:rPr>
          <w:rFonts w:ascii="Calibri" w:eastAsia="楷体" w:hAnsi="Calibri" w:cs="黑体"/>
          <w:b/>
          <w:bCs/>
          <w:sz w:val="32"/>
        </w:rPr>
      </w:pPr>
      <w:bookmarkStart w:id="291" w:name="_Toc177"/>
      <w:bookmarkStart w:id="292" w:name="_Toc10807"/>
      <w:bookmarkStart w:id="293" w:name="_Toc29193"/>
      <w:bookmarkStart w:id="294" w:name="_Toc10484"/>
      <w:bookmarkStart w:id="295" w:name="_Toc3630"/>
      <w:bookmarkStart w:id="296" w:name="_Toc3988"/>
      <w:bookmarkStart w:id="297" w:name="_Toc142"/>
      <w:bookmarkStart w:id="298" w:name="_Toc1938"/>
      <w:bookmarkStart w:id="299" w:name="_Toc84804956"/>
      <w:bookmarkStart w:id="300" w:name="_Toc3666"/>
      <w:bookmarkStart w:id="301" w:name="_Toc65153918"/>
      <w:bookmarkStart w:id="302" w:name="_Toc2662"/>
      <w:bookmarkStart w:id="303" w:name="_Toc31539"/>
      <w:r>
        <w:rPr>
          <w:rFonts w:ascii="Calibri" w:eastAsia="楷体" w:hAnsi="Calibri" w:cs="黑体"/>
          <w:b/>
          <w:bCs/>
          <w:sz w:val="32"/>
        </w:rPr>
        <w:t>4.</w:t>
      </w:r>
      <w:r>
        <w:rPr>
          <w:rFonts w:ascii="Calibri" w:eastAsia="楷体" w:hAnsi="Calibri" w:cs="黑体" w:hint="eastAsia"/>
          <w:b/>
          <w:bCs/>
          <w:sz w:val="32"/>
          <w:szCs w:val="32"/>
        </w:rPr>
        <w:t>强化食品安全和营养健康</w:t>
      </w:r>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290"/>
    <w:p w:rsidR="00D70FB0" w:rsidRDefault="00EE7950">
      <w:pPr>
        <w:tabs>
          <w:tab w:val="left" w:pos="3686"/>
        </w:tabs>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严格执行农产品质量安全标准、食品安全国家标准，完善地方特色农产品、水产品质</w:t>
      </w:r>
      <w:proofErr w:type="gramStart"/>
      <w:r>
        <w:rPr>
          <w:rFonts w:ascii="仿宋_GB2312" w:eastAsia="仿宋_GB2312" w:hAnsi="仿宋_GB2312" w:cs="仿宋_GB2312" w:hint="eastAsia"/>
          <w:bCs/>
          <w:sz w:val="32"/>
          <w:szCs w:val="32"/>
        </w:rPr>
        <w:t>量安全</w:t>
      </w:r>
      <w:proofErr w:type="gramEnd"/>
      <w:r>
        <w:rPr>
          <w:rFonts w:ascii="仿宋_GB2312" w:eastAsia="仿宋_GB2312" w:hAnsi="仿宋_GB2312" w:cs="仿宋_GB2312" w:hint="eastAsia"/>
          <w:bCs/>
          <w:sz w:val="32"/>
          <w:szCs w:val="32"/>
        </w:rPr>
        <w:t>及特色食品产品安全性评估。完善食品安全风险监测网络，推进由区域全覆盖迈向农村农场农田，实行科学化布点，逐步向乡镇基层延伸，将全市所有食源性疾病诊疗机构纳入食源性疾病监</w:t>
      </w:r>
      <w:r>
        <w:rPr>
          <w:rFonts w:ascii="仿宋_GB2312" w:eastAsia="仿宋_GB2312" w:hAnsi="仿宋_GB2312" w:cs="仿宋_GB2312" w:hint="eastAsia"/>
          <w:bCs/>
          <w:sz w:val="32"/>
          <w:szCs w:val="32"/>
        </w:rPr>
        <w:t>测网络。开展食品安全风险和食源性疾病监测，获取我市地方特色食品营养、功能成分、安全性评价数据，开展地方特色食品监测评价、食物与健康相关性研究。</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
          <w:bCs/>
          <w:sz w:val="32"/>
        </w:rPr>
      </w:pPr>
      <w:bookmarkStart w:id="304" w:name="_Toc30657"/>
      <w:bookmarkStart w:id="305" w:name="_Toc15904"/>
      <w:bookmarkStart w:id="306" w:name="_Toc65153919"/>
      <w:bookmarkStart w:id="307" w:name="_Toc2939"/>
      <w:bookmarkStart w:id="308" w:name="_Toc21876"/>
      <w:bookmarkStart w:id="309" w:name="_Toc16666"/>
      <w:bookmarkStart w:id="310" w:name="_Toc6770"/>
      <w:bookmarkStart w:id="311" w:name="_Toc5349"/>
      <w:bookmarkStart w:id="312" w:name="_Toc15780"/>
      <w:bookmarkStart w:id="313" w:name="_Toc16693"/>
      <w:bookmarkStart w:id="314" w:name="_Toc21295"/>
      <w:bookmarkStart w:id="315" w:name="_Toc5887"/>
      <w:bookmarkStart w:id="316" w:name="_Toc15859"/>
      <w:bookmarkStart w:id="317" w:name="_Toc6512"/>
      <w:bookmarkStart w:id="318" w:name="_Toc2713"/>
      <w:bookmarkStart w:id="319" w:name="_Toc20642"/>
      <w:bookmarkStart w:id="320" w:name="_Toc84804957"/>
      <w:r>
        <w:rPr>
          <w:rFonts w:ascii="Calibri" w:eastAsia="楷体" w:hAnsi="Calibri" w:cs="黑体"/>
          <w:b/>
          <w:bCs/>
          <w:sz w:val="32"/>
        </w:rPr>
        <w:t>5.</w:t>
      </w:r>
      <w:r>
        <w:rPr>
          <w:rFonts w:ascii="Calibri" w:eastAsia="楷体" w:hAnsi="Calibri" w:cs="黑体" w:hint="eastAsia"/>
          <w:b/>
          <w:bCs/>
          <w:sz w:val="32"/>
        </w:rPr>
        <w:t>完善全民健身公共服务</w:t>
      </w:r>
      <w:bookmarkStart w:id="321" w:name="_Hlk64922917"/>
      <w:r>
        <w:rPr>
          <w:rFonts w:ascii="Calibri" w:eastAsia="楷体" w:hAnsi="Calibri" w:cs="黑体" w:hint="eastAsia"/>
          <w:b/>
          <w:bCs/>
          <w:sz w:val="32"/>
        </w:rPr>
        <w:t>体系</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D70FB0" w:rsidRDefault="00EE7950">
      <w:pPr>
        <w:tabs>
          <w:tab w:val="left" w:pos="3686"/>
        </w:tabs>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普及科学健身知识和健身方法，推动体育健身生活化。健全运动健身休闲网络，鼓励举办各类全民健身运动会、体育比赛活动。鼓励广大群众在有专业人士指导、合理评估身体状态的情况下，选择适合自己的运动方式，每周进行</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次</w:t>
      </w:r>
      <w:r>
        <w:rPr>
          <w:rFonts w:ascii="仿宋_GB2312" w:eastAsia="仿宋_GB2312" w:hAnsi="仿宋_GB2312" w:cs="仿宋_GB2312" w:hint="eastAsia"/>
          <w:bCs/>
          <w:sz w:val="32"/>
          <w:szCs w:val="32"/>
        </w:rPr>
        <w:lastRenderedPageBreak/>
        <w:t>以上、每次</w:t>
      </w: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分钟以上中等强度运动，或者累计</w:t>
      </w:r>
      <w:r>
        <w:rPr>
          <w:rFonts w:ascii="仿宋_GB2312" w:eastAsia="仿宋_GB2312" w:hAnsi="仿宋_GB2312" w:cs="仿宋_GB2312" w:hint="eastAsia"/>
          <w:bCs/>
          <w:sz w:val="32"/>
          <w:szCs w:val="32"/>
        </w:rPr>
        <w:t>150</w:t>
      </w:r>
      <w:r>
        <w:rPr>
          <w:rFonts w:ascii="仿宋_GB2312" w:eastAsia="仿宋_GB2312" w:hAnsi="仿宋_GB2312" w:cs="仿宋_GB2312" w:hint="eastAsia"/>
          <w:bCs/>
          <w:sz w:val="32"/>
          <w:szCs w:val="32"/>
        </w:rPr>
        <w:t>分钟中等强度或</w:t>
      </w:r>
      <w:r>
        <w:rPr>
          <w:rFonts w:ascii="仿宋_GB2312" w:eastAsia="仿宋_GB2312" w:hAnsi="仿宋_GB2312" w:cs="仿宋_GB2312" w:hint="eastAsia"/>
          <w:bCs/>
          <w:sz w:val="32"/>
          <w:szCs w:val="32"/>
        </w:rPr>
        <w:t>75</w:t>
      </w:r>
      <w:r>
        <w:rPr>
          <w:rFonts w:ascii="仿宋_GB2312" w:eastAsia="仿宋_GB2312" w:hAnsi="仿宋_GB2312" w:cs="仿宋_GB2312" w:hint="eastAsia"/>
          <w:bCs/>
          <w:sz w:val="32"/>
          <w:szCs w:val="32"/>
        </w:rPr>
        <w:t>分钟高强度身体活动，日常生活中达到每天</w:t>
      </w:r>
      <w:r>
        <w:rPr>
          <w:rFonts w:ascii="仿宋_GB2312" w:eastAsia="仿宋_GB2312" w:hAnsi="仿宋_GB2312" w:cs="仿宋_GB2312" w:hint="eastAsia"/>
          <w:bCs/>
          <w:sz w:val="32"/>
          <w:szCs w:val="32"/>
        </w:rPr>
        <w:t>6000</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10000</w:t>
      </w:r>
      <w:r>
        <w:rPr>
          <w:rFonts w:ascii="仿宋_GB2312" w:eastAsia="仿宋_GB2312" w:hAnsi="仿宋_GB2312" w:cs="仿宋_GB2312" w:hint="eastAsia"/>
          <w:bCs/>
          <w:sz w:val="32"/>
          <w:szCs w:val="32"/>
        </w:rPr>
        <w:t>步的活动</w:t>
      </w:r>
      <w:r>
        <w:rPr>
          <w:rFonts w:ascii="仿宋_GB2312" w:eastAsia="仿宋_GB2312" w:hAnsi="仿宋_GB2312" w:cs="仿宋_GB2312" w:hint="eastAsia"/>
          <w:bCs/>
          <w:sz w:val="32"/>
          <w:szCs w:val="32"/>
        </w:rPr>
        <w:t>量。</w:t>
      </w:r>
      <w:bookmarkStart w:id="322" w:name="_Toc63690899"/>
      <w:bookmarkStart w:id="323" w:name="_Toc5631"/>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
          <w:bCs/>
          <w:sz w:val="32"/>
        </w:rPr>
      </w:pPr>
      <w:bookmarkStart w:id="324" w:name="_Toc13463"/>
      <w:bookmarkStart w:id="325" w:name="_Toc18894"/>
      <w:bookmarkStart w:id="326" w:name="_Toc9184"/>
      <w:bookmarkStart w:id="327" w:name="_Toc8629"/>
      <w:bookmarkStart w:id="328" w:name="_Toc21597"/>
      <w:bookmarkStart w:id="329" w:name="_Toc12522"/>
      <w:bookmarkStart w:id="330" w:name="_Toc25962"/>
      <w:bookmarkStart w:id="331" w:name="_Toc65153921"/>
      <w:bookmarkStart w:id="332" w:name="_Toc1487"/>
      <w:bookmarkStart w:id="333" w:name="_Toc27589"/>
      <w:bookmarkStart w:id="334" w:name="_Toc20234"/>
      <w:bookmarkStart w:id="335" w:name="_Toc31432"/>
      <w:bookmarkStart w:id="336" w:name="_Toc4614"/>
      <w:bookmarkStart w:id="337" w:name="_Toc7510"/>
      <w:bookmarkStart w:id="338" w:name="_Toc27477"/>
      <w:bookmarkStart w:id="339" w:name="_Toc10197"/>
      <w:bookmarkStart w:id="340" w:name="_Toc84804958"/>
      <w:bookmarkEnd w:id="322"/>
      <w:r>
        <w:rPr>
          <w:rFonts w:ascii="Calibri" w:eastAsia="楷体" w:hAnsi="Calibri" w:cs="黑体" w:hint="eastAsia"/>
          <w:b/>
          <w:bCs/>
          <w:sz w:val="32"/>
        </w:rPr>
        <w:t>6.</w:t>
      </w:r>
      <w:r>
        <w:rPr>
          <w:rFonts w:ascii="Calibri" w:eastAsia="楷体" w:hAnsi="Calibri" w:cs="黑体" w:hint="eastAsia"/>
          <w:b/>
          <w:bCs/>
          <w:sz w:val="32"/>
        </w:rPr>
        <w:t>强化重点疾病健康管理</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D70FB0" w:rsidRDefault="00EE7950">
      <w:pPr>
        <w:tabs>
          <w:tab w:val="left" w:pos="3686"/>
        </w:tabs>
        <w:spacing w:line="560" w:lineRule="exact"/>
        <w:ind w:firstLineChars="200" w:firstLine="643"/>
        <w:jc w:val="left"/>
        <w:rPr>
          <w:rFonts w:ascii="仿宋_GB2312" w:eastAsia="仿宋_GB2312" w:hAnsi="仿宋_GB2312" w:cs="仿宋_GB2312"/>
          <w:bCs/>
          <w:sz w:val="32"/>
          <w:szCs w:val="32"/>
        </w:rPr>
      </w:pPr>
      <w:r>
        <w:rPr>
          <w:rFonts w:ascii="仿宋_GB2312" w:eastAsia="仿宋_GB2312" w:hAnsi="仿宋_GB2312" w:cs="仿宋_GB2312" w:hint="eastAsia"/>
          <w:b/>
          <w:sz w:val="32"/>
          <w:szCs w:val="32"/>
        </w:rPr>
        <w:t>健全精神卫生和心理服务体系。</w:t>
      </w:r>
      <w:r>
        <w:rPr>
          <w:rFonts w:ascii="仿宋_GB2312" w:eastAsia="仿宋_GB2312" w:hAnsi="仿宋_GB2312" w:cs="仿宋_GB2312" w:hint="eastAsia"/>
          <w:bCs/>
          <w:sz w:val="32"/>
          <w:szCs w:val="32"/>
        </w:rPr>
        <w:t>大力推进精神卫生工作。</w:t>
      </w:r>
      <w:r>
        <w:rPr>
          <w:rFonts w:ascii="Calibri" w:eastAsia="仿宋_GB2312" w:hAnsi="Calibri" w:cs="黑体" w:hint="eastAsia"/>
          <w:sz w:val="32"/>
          <w:szCs w:val="32"/>
        </w:rPr>
        <w:t>加强市级精神卫生机构体系建设。</w:t>
      </w:r>
      <w:r>
        <w:rPr>
          <w:rFonts w:ascii="仿宋_GB2312" w:eastAsia="仿宋_GB2312" w:hAnsi="仿宋_GB2312" w:cs="仿宋_GB2312" w:hint="eastAsia"/>
          <w:bCs/>
          <w:sz w:val="32"/>
          <w:szCs w:val="32"/>
        </w:rPr>
        <w:t>全面提升精神专科医院服务能力，满足人民群众日益增长的多层次、多样化医疗卫生服务需求。</w:t>
      </w:r>
      <w:proofErr w:type="gramStart"/>
      <w:r>
        <w:rPr>
          <w:rFonts w:ascii="仿宋_GB2312" w:eastAsia="仿宋_GB2312" w:hAnsi="仿宋_GB2312" w:cs="仿宋_GB2312" w:hint="eastAsia"/>
          <w:bCs/>
          <w:sz w:val="32"/>
          <w:szCs w:val="32"/>
        </w:rPr>
        <w:t>持续抓好</w:t>
      </w:r>
      <w:proofErr w:type="gramEnd"/>
      <w:r>
        <w:rPr>
          <w:rFonts w:ascii="仿宋_GB2312" w:eastAsia="仿宋_GB2312" w:hAnsi="仿宋_GB2312" w:cs="仿宋_GB2312" w:hint="eastAsia"/>
          <w:bCs/>
          <w:sz w:val="32"/>
          <w:szCs w:val="32"/>
        </w:rPr>
        <w:t>全国社会心理服务体系建设试点工作，争取在精神卫生体系建设中，医院</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社区一体化精神疾病防治康复模式等方面取得长足发展。各乡镇卫生院（社区卫生服务中心）要安排符合心理健康服务要求的场所，为有需求的居民提供健康教育、答疑释惑、心理咨询等服务。利用互联网搭建心理健康服务平台，采取线上与线下相结合的形式，为居民提供心</w:t>
      </w:r>
      <w:r>
        <w:rPr>
          <w:rFonts w:ascii="仿宋_GB2312" w:eastAsia="仿宋_GB2312" w:hAnsi="仿宋_GB2312" w:cs="仿宋_GB2312" w:hint="eastAsia"/>
          <w:bCs/>
          <w:sz w:val="32"/>
          <w:szCs w:val="32"/>
        </w:rPr>
        <w:t>理健康服务。</w:t>
      </w:r>
    </w:p>
    <w:p w:rsidR="00D70FB0" w:rsidRDefault="00EE7950">
      <w:pPr>
        <w:spacing w:line="580" w:lineRule="exact"/>
        <w:ind w:firstLine="640"/>
        <w:jc w:val="left"/>
        <w:rPr>
          <w:rFonts w:ascii="Calibri" w:eastAsia="仿宋_GB2312" w:hAnsi="Calibri" w:cs="黑体"/>
          <w:sz w:val="32"/>
        </w:rPr>
      </w:pPr>
      <w:r>
        <w:rPr>
          <w:rFonts w:ascii="Calibri" w:eastAsia="仿宋_GB2312" w:hAnsi="Calibri" w:cs="黑体" w:hint="eastAsia"/>
          <w:b/>
          <w:bCs/>
          <w:sz w:val="32"/>
        </w:rPr>
        <w:t>实施慢性病综合防控。</w:t>
      </w:r>
      <w:r>
        <w:rPr>
          <w:rFonts w:ascii="Calibri" w:eastAsia="仿宋_GB2312" w:hAnsi="Calibri" w:cs="黑体" w:hint="eastAsia"/>
          <w:sz w:val="32"/>
        </w:rPr>
        <w:t>全面推进慢性病综合防治，建立健全慢性病疾病防控工作机制。深入实施慢性病监测及综合干预，有组织、有计划、有步骤地全面落实慢性病综合防控示范区各项建设工作，各项指标达到相关建设标准。鼓励基层开设慢性病联合门诊，提高基层慢病和常见病诊疗能力。开展高血压、糖尿病高危人群干预，到</w:t>
      </w:r>
      <w:r>
        <w:rPr>
          <w:rFonts w:ascii="仿宋_GB2312" w:eastAsia="仿宋_GB2312" w:hAnsi="仿宋_GB2312" w:cs="仿宋_GB2312" w:hint="eastAsia"/>
          <w:bCs/>
          <w:sz w:val="32"/>
          <w:szCs w:val="32"/>
        </w:rPr>
        <w:t>2025</w:t>
      </w:r>
      <w:r>
        <w:rPr>
          <w:rFonts w:ascii="Calibri" w:eastAsia="仿宋_GB2312" w:hAnsi="Calibri" w:cs="黑体" w:hint="eastAsia"/>
          <w:sz w:val="32"/>
        </w:rPr>
        <w:t>年慢性病规范管理率达到</w:t>
      </w:r>
      <w:r>
        <w:rPr>
          <w:rFonts w:ascii="仿宋_GB2312" w:eastAsia="仿宋_GB2312" w:hAnsi="仿宋_GB2312" w:cs="仿宋_GB2312" w:hint="eastAsia"/>
          <w:bCs/>
          <w:sz w:val="32"/>
          <w:szCs w:val="32"/>
        </w:rPr>
        <w:t>70%</w:t>
      </w:r>
      <w:r>
        <w:rPr>
          <w:rFonts w:ascii="Calibri" w:eastAsia="仿宋_GB2312" w:hAnsi="Calibri" w:cs="黑体" w:hint="eastAsia"/>
          <w:sz w:val="32"/>
        </w:rPr>
        <w:t>以上。加强社区慢性病规范管理水平，依托家庭医生签约服务，对心脑血管疾病高危人群，高血压和糖尿病患者定期检测血脂。</w:t>
      </w:r>
    </w:p>
    <w:p w:rsidR="00D70FB0" w:rsidRDefault="00EE7950">
      <w:pPr>
        <w:spacing w:line="580" w:lineRule="exact"/>
        <w:ind w:firstLine="640"/>
        <w:jc w:val="left"/>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强化重大传染病和地方病防控。</w:t>
      </w:r>
      <w:r>
        <w:rPr>
          <w:rFonts w:ascii="仿宋_GB2312" w:eastAsia="仿宋_GB2312" w:hAnsi="仿宋_GB2312" w:cs="仿宋_GB2312" w:hint="eastAsia"/>
          <w:bCs/>
          <w:sz w:val="32"/>
          <w:szCs w:val="32"/>
        </w:rPr>
        <w:t>联防联控，群防群控，</w:t>
      </w:r>
      <w:r>
        <w:rPr>
          <w:rFonts w:ascii="仿宋_GB2312" w:eastAsia="仿宋_GB2312" w:hAnsi="仿宋_GB2312" w:cs="仿宋_GB2312" w:hint="eastAsia"/>
          <w:bCs/>
          <w:sz w:val="32"/>
          <w:szCs w:val="32"/>
        </w:rPr>
        <w:lastRenderedPageBreak/>
        <w:t>综合防控鼠疫、禽流感、埃博拉病毒病、中东呼吸综合征、登革热、流感、手足口病、麻疹等重点突发急性传染病。建立健全全市重大急性传染病监测预警体系，尤其增强口岸新发传染病监测预警能力，提升突发急性传染病检验检疫、隔离留验能力。加强全市各级疾病预防控制机构、医疗机构对登革热、流感、手足口病、</w:t>
      </w:r>
      <w:proofErr w:type="gramStart"/>
      <w:r>
        <w:rPr>
          <w:rFonts w:ascii="仿宋_GB2312" w:eastAsia="仿宋_GB2312" w:hAnsi="仿宋_GB2312" w:cs="仿宋_GB2312" w:hint="eastAsia"/>
          <w:bCs/>
          <w:sz w:val="32"/>
          <w:szCs w:val="32"/>
        </w:rPr>
        <w:t>诺如病毒</w:t>
      </w:r>
      <w:proofErr w:type="gramEnd"/>
      <w:r>
        <w:rPr>
          <w:rFonts w:ascii="仿宋_GB2312" w:eastAsia="仿宋_GB2312" w:hAnsi="仿宋_GB2312" w:cs="仿宋_GB2312" w:hint="eastAsia"/>
          <w:bCs/>
          <w:sz w:val="32"/>
          <w:szCs w:val="32"/>
        </w:rPr>
        <w:t>感染等突发急性重点传染病和新发急性传染病以及未知疾病监测。疾病预防控制机构提升现场流行病学调查、监测数据分析和病原微生物检测能力。各级医疗机构重点提升哨点监测技术和突发急性传染病可疑病例早期快速筛查能</w:t>
      </w:r>
      <w:r>
        <w:rPr>
          <w:rFonts w:ascii="仿宋_GB2312" w:eastAsia="仿宋_GB2312" w:hAnsi="仿宋_GB2312" w:cs="仿宋_GB2312" w:hint="eastAsia"/>
          <w:bCs/>
          <w:sz w:val="32"/>
          <w:szCs w:val="32"/>
        </w:rPr>
        <w:t>力。加强重点人群和高危人群的艾滋病检测随访和综合干预。加大一般就诊者肺结核发现</w:t>
      </w:r>
      <w:proofErr w:type="gramStart"/>
      <w:r>
        <w:rPr>
          <w:rFonts w:ascii="仿宋_GB2312" w:eastAsia="仿宋_GB2312" w:hAnsi="仿宋_GB2312" w:cs="仿宋_GB2312" w:hint="eastAsia"/>
          <w:bCs/>
          <w:sz w:val="32"/>
          <w:szCs w:val="32"/>
        </w:rPr>
        <w:t>和耐多药</w:t>
      </w:r>
      <w:proofErr w:type="gramEnd"/>
      <w:r>
        <w:rPr>
          <w:rFonts w:ascii="仿宋_GB2312" w:eastAsia="仿宋_GB2312" w:hAnsi="仿宋_GB2312" w:cs="仿宋_GB2312" w:hint="eastAsia"/>
          <w:bCs/>
          <w:sz w:val="32"/>
          <w:szCs w:val="32"/>
        </w:rPr>
        <w:t>肺结核筛查力度，推进肺结核患者全程随诊管理。强化学校结核病疫情监测和处置，防止聚集性疫情发生。加强麻风病症状监测和流动人口麻风病例筛查。健全性病综合防治体系，加快梅毒综合防治示范区建设，提升性病综合防治能力和水平。保持消除血吸虫病、疟疾和</w:t>
      </w:r>
      <w:proofErr w:type="gramStart"/>
      <w:r>
        <w:rPr>
          <w:rFonts w:ascii="仿宋_GB2312" w:eastAsia="仿宋_GB2312" w:hAnsi="仿宋_GB2312" w:cs="仿宋_GB2312" w:hint="eastAsia"/>
          <w:bCs/>
          <w:sz w:val="32"/>
          <w:szCs w:val="32"/>
        </w:rPr>
        <w:t>碘缺乏</w:t>
      </w:r>
      <w:proofErr w:type="gramEnd"/>
      <w:r>
        <w:rPr>
          <w:rFonts w:ascii="仿宋_GB2312" w:eastAsia="仿宋_GB2312" w:hAnsi="仿宋_GB2312" w:cs="仿宋_GB2312" w:hint="eastAsia"/>
          <w:bCs/>
          <w:sz w:val="32"/>
          <w:szCs w:val="32"/>
        </w:rPr>
        <w:t>病。基本消除饮水型氟中毒危害。</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
          <w:bCs/>
          <w:sz w:val="32"/>
        </w:rPr>
      </w:pPr>
      <w:bookmarkStart w:id="341" w:name="_Toc1749"/>
      <w:bookmarkStart w:id="342" w:name="_Toc13087"/>
      <w:bookmarkStart w:id="343" w:name="_Toc30556"/>
      <w:bookmarkStart w:id="344" w:name="_Toc3405"/>
      <w:bookmarkStart w:id="345" w:name="_Toc15589"/>
      <w:bookmarkStart w:id="346" w:name="_Toc5667"/>
      <w:bookmarkStart w:id="347" w:name="_Toc29004"/>
      <w:bookmarkStart w:id="348" w:name="_Toc84804959"/>
      <w:r>
        <w:rPr>
          <w:rFonts w:ascii="Calibri" w:eastAsia="楷体" w:hAnsi="Calibri" w:cs="黑体"/>
          <w:b/>
          <w:bCs/>
          <w:sz w:val="32"/>
        </w:rPr>
        <w:t>7.</w:t>
      </w:r>
      <w:r>
        <w:rPr>
          <w:rFonts w:ascii="Calibri" w:eastAsia="楷体" w:hAnsi="Calibri" w:cs="黑体"/>
          <w:b/>
          <w:bCs/>
          <w:sz w:val="32"/>
        </w:rPr>
        <w:t>加强伤害预防和干预</w:t>
      </w:r>
      <w:bookmarkEnd w:id="341"/>
      <w:bookmarkEnd w:id="342"/>
      <w:bookmarkEnd w:id="343"/>
      <w:bookmarkEnd w:id="344"/>
      <w:bookmarkEnd w:id="345"/>
      <w:bookmarkEnd w:id="346"/>
      <w:bookmarkEnd w:id="347"/>
      <w:bookmarkEnd w:id="348"/>
    </w:p>
    <w:p w:rsidR="00D70FB0" w:rsidRDefault="00EE7950">
      <w:pPr>
        <w:spacing w:line="580" w:lineRule="exact"/>
        <w:ind w:firstLineChars="200" w:firstLine="640"/>
        <w:jc w:val="left"/>
        <w:rPr>
          <w:rFonts w:ascii="Times New Roman" w:eastAsia="宋体" w:hAnsi="Times New Roman" w:cs="Times New Roman"/>
          <w:szCs w:val="24"/>
        </w:rPr>
      </w:pPr>
      <w:r>
        <w:rPr>
          <w:rFonts w:ascii="Calibri" w:eastAsia="仿宋_GB2312" w:hAnsi="Calibri" w:cs="黑体" w:hint="eastAsia"/>
          <w:sz w:val="32"/>
        </w:rPr>
        <w:t>实施儿童和老年人伤害预防和综合干预行动计划，加强儿童玩具和日常用品安全标准落实情况监管，减少</w:t>
      </w:r>
      <w:r>
        <w:rPr>
          <w:rFonts w:ascii="仿宋_GB2312" w:eastAsia="仿宋_GB2312" w:hAnsi="仿宋_GB2312" w:cs="仿宋_GB2312" w:hint="eastAsia"/>
          <w:sz w:val="32"/>
        </w:rPr>
        <w:t>18</w:t>
      </w:r>
      <w:r>
        <w:rPr>
          <w:rFonts w:ascii="Calibri" w:eastAsia="仿宋_GB2312" w:hAnsi="Calibri" w:cs="黑体" w:hint="eastAsia"/>
          <w:sz w:val="32"/>
        </w:rPr>
        <w:t>岁以下儿童和老年人意外伤害的发</w:t>
      </w:r>
      <w:r>
        <w:rPr>
          <w:rFonts w:ascii="Calibri" w:eastAsia="仿宋_GB2312" w:hAnsi="Calibri" w:cs="黑体" w:hint="eastAsia"/>
          <w:sz w:val="32"/>
        </w:rPr>
        <w:t>生。开展学生意外伤害事故预防和处置、社会实践、防溺水等方面安全教育，加强管理完善重点场所和防护设施建设，预防和减少意外伤害。</w:t>
      </w:r>
    </w:p>
    <w:bookmarkEnd w:id="235"/>
    <w:bookmarkEnd w:id="236"/>
    <w:bookmarkEnd w:id="237"/>
    <w:bookmarkEnd w:id="238"/>
    <w:bookmarkEnd w:id="239"/>
    <w:bookmarkEnd w:id="240"/>
    <w:bookmarkEnd w:id="241"/>
    <w:p w:rsidR="00D70FB0" w:rsidRDefault="00D70FB0">
      <w:pPr>
        <w:spacing w:line="40" w:lineRule="exact"/>
        <w:jc w:val="left"/>
        <w:rPr>
          <w:rFonts w:ascii="Times New Roman" w:eastAsia="宋体" w:hAnsi="Times New Roman" w:cs="Times New Roman"/>
          <w:sz w:val="32"/>
          <w:szCs w:val="32"/>
        </w:rPr>
      </w:pPr>
    </w:p>
    <w:p w:rsidR="00D70FB0" w:rsidRDefault="00EE7950">
      <w:pPr>
        <w:keepNext/>
        <w:keepLines/>
        <w:adjustRightInd w:val="0"/>
        <w:snapToGrid w:val="0"/>
        <w:spacing w:line="560" w:lineRule="exact"/>
        <w:ind w:firstLineChars="200" w:firstLine="643"/>
        <w:outlineLvl w:val="1"/>
        <w:rPr>
          <w:rFonts w:ascii="Arial" w:eastAsia="楷体" w:hAnsi="Arial" w:cs="黑体"/>
          <w:b/>
          <w:bCs/>
          <w:position w:val="6"/>
          <w:sz w:val="32"/>
        </w:rPr>
      </w:pPr>
      <w:bookmarkStart w:id="349" w:name="_Toc14616"/>
      <w:bookmarkStart w:id="350" w:name="_Toc9674"/>
      <w:bookmarkStart w:id="351" w:name="_Toc18296"/>
      <w:bookmarkStart w:id="352" w:name="_Toc24542"/>
      <w:bookmarkStart w:id="353" w:name="_Toc15630"/>
      <w:bookmarkStart w:id="354" w:name="_Toc276"/>
      <w:bookmarkStart w:id="355" w:name="_Toc10525"/>
      <w:bookmarkStart w:id="356" w:name="_Toc19116"/>
      <w:bookmarkStart w:id="357" w:name="_Toc15689"/>
      <w:bookmarkStart w:id="358" w:name="_Toc84804960"/>
      <w:bookmarkStart w:id="359" w:name="_Toc65153922"/>
      <w:bookmarkStart w:id="360" w:name="_Toc30042"/>
      <w:bookmarkStart w:id="361" w:name="_Toc24230"/>
      <w:bookmarkStart w:id="362" w:name="_Toc3903"/>
      <w:bookmarkStart w:id="363" w:name="_Toc18248"/>
      <w:bookmarkStart w:id="364" w:name="_Toc1941"/>
      <w:bookmarkStart w:id="365" w:name="_Toc10331"/>
      <w:bookmarkStart w:id="366" w:name="_Toc28322"/>
      <w:r>
        <w:rPr>
          <w:rFonts w:ascii="Arial" w:eastAsia="楷体" w:hAnsi="Arial" w:cs="黑体" w:hint="eastAsia"/>
          <w:b/>
          <w:sz w:val="32"/>
        </w:rPr>
        <w:lastRenderedPageBreak/>
        <w:t>（四）保障人民生命全周期健康</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367" w:name="_Toc544"/>
      <w:bookmarkStart w:id="368" w:name="_Toc7485"/>
      <w:bookmarkStart w:id="369" w:name="_Toc5148"/>
      <w:bookmarkStart w:id="370" w:name="_Toc65153923"/>
      <w:bookmarkStart w:id="371" w:name="_Toc29471"/>
      <w:bookmarkStart w:id="372" w:name="_Toc31358"/>
      <w:bookmarkStart w:id="373" w:name="_Toc27999"/>
      <w:bookmarkStart w:id="374" w:name="_Toc18005"/>
      <w:bookmarkStart w:id="375" w:name="_Toc12525"/>
      <w:bookmarkStart w:id="376" w:name="_Toc15807"/>
      <w:bookmarkStart w:id="377" w:name="_Toc28512"/>
      <w:bookmarkStart w:id="378" w:name="_Toc24664"/>
      <w:bookmarkStart w:id="379" w:name="_Toc18737"/>
      <w:bookmarkStart w:id="380" w:name="_Toc10210"/>
      <w:bookmarkStart w:id="381" w:name="_Toc22789"/>
      <w:bookmarkStart w:id="382" w:name="_Toc3783"/>
      <w:bookmarkStart w:id="383" w:name="_Toc84804961"/>
      <w:bookmarkStart w:id="384" w:name="_Toc12461"/>
      <w:r>
        <w:rPr>
          <w:rFonts w:ascii="Calibri" w:eastAsia="楷体" w:hAnsi="Calibri" w:cs="黑体"/>
          <w:b/>
          <w:bCs/>
          <w:sz w:val="32"/>
        </w:rPr>
        <w:t>1.</w:t>
      </w:r>
      <w:bookmarkEnd w:id="367"/>
      <w:r>
        <w:rPr>
          <w:rFonts w:ascii="Calibri" w:eastAsia="楷体" w:hAnsi="Calibri" w:cs="黑体" w:hint="eastAsia"/>
          <w:b/>
          <w:bCs/>
          <w:sz w:val="32"/>
        </w:rPr>
        <w:t>强化生育政策配套衔接</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bCs/>
          <w:sz w:val="32"/>
          <w:szCs w:val="32"/>
        </w:rPr>
        <w:t>落实生育配套政策，</w:t>
      </w:r>
      <w:r>
        <w:rPr>
          <w:rFonts w:ascii="仿宋_GB2312" w:eastAsia="仿宋_GB2312" w:hAnsi="Times New Roman" w:cs="Times New Roman" w:hint="eastAsia"/>
          <w:sz w:val="32"/>
          <w:szCs w:val="32"/>
        </w:rPr>
        <w:t>保障生育对象依法享有的各项福利待遇。鼓励用人单位为孕期和哺乳期妇女提供灵活的工作方式及必要的便利条件。加强新型人口文化和生育文化的建设。完善计划生育家庭奖励和扶助政策，落实计划生育特殊家庭就医优先便利服务，逐步构建计划生育家庭社会关怀长效机制。完善公共场所和用人单位的母婴设施建设，保障母婴权益。</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385" w:name="_Toc21659"/>
      <w:bookmarkStart w:id="386" w:name="_Toc65153924"/>
      <w:bookmarkStart w:id="387" w:name="_Toc4336"/>
      <w:bookmarkStart w:id="388" w:name="_Toc28957"/>
      <w:bookmarkStart w:id="389" w:name="_Toc16564"/>
      <w:bookmarkStart w:id="390" w:name="_Toc3765"/>
      <w:bookmarkStart w:id="391" w:name="_Toc9368"/>
      <w:bookmarkStart w:id="392" w:name="_Toc20931"/>
      <w:bookmarkStart w:id="393" w:name="_Toc29456"/>
      <w:bookmarkStart w:id="394" w:name="_Toc4218"/>
      <w:bookmarkStart w:id="395" w:name="_Toc22342"/>
      <w:bookmarkStart w:id="396" w:name="_Toc16050"/>
      <w:bookmarkStart w:id="397" w:name="_Toc489"/>
      <w:bookmarkStart w:id="398" w:name="_Toc6254"/>
      <w:bookmarkStart w:id="399" w:name="_Toc5904"/>
      <w:bookmarkStart w:id="400" w:name="_Toc9287"/>
      <w:bookmarkStart w:id="401" w:name="_Toc84804962"/>
      <w:bookmarkStart w:id="402" w:name="_Toc25296"/>
      <w:bookmarkStart w:id="403" w:name="_Toc770"/>
      <w:bookmarkStart w:id="404" w:name="_Toc139"/>
      <w:bookmarkStart w:id="405" w:name="_Toc22997"/>
      <w:bookmarkEnd w:id="384"/>
      <w:r>
        <w:rPr>
          <w:rFonts w:ascii="Calibri" w:eastAsia="楷体" w:hAnsi="Calibri" w:cs="黑体"/>
          <w:b/>
          <w:bCs/>
          <w:sz w:val="32"/>
        </w:rPr>
        <w:t>2.</w:t>
      </w:r>
      <w:r>
        <w:rPr>
          <w:rFonts w:ascii="Calibri" w:eastAsia="楷体" w:hAnsi="Calibri" w:cs="黑体" w:hint="eastAsia"/>
          <w:b/>
          <w:bCs/>
          <w:sz w:val="32"/>
        </w:rPr>
        <w:t>发展普</w:t>
      </w:r>
      <w:proofErr w:type="gramStart"/>
      <w:r>
        <w:rPr>
          <w:rFonts w:ascii="Calibri" w:eastAsia="楷体" w:hAnsi="Calibri" w:cs="黑体" w:hint="eastAsia"/>
          <w:b/>
          <w:bCs/>
          <w:sz w:val="32"/>
        </w:rPr>
        <w:t>惠托育服务</w:t>
      </w:r>
      <w:proofErr w:type="gramEnd"/>
      <w:r>
        <w:rPr>
          <w:rFonts w:ascii="Calibri" w:eastAsia="楷体" w:hAnsi="Calibri" w:cs="黑体" w:hint="eastAsia"/>
          <w:b/>
          <w:bCs/>
          <w:sz w:val="32"/>
        </w:rPr>
        <w:t>体系</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着力推进</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岁以下婴幼儿照护服务规范发展，积极发挥政府的引导作用，健全和规范婴幼儿照护服务机构登记和备案制度，加快完善婴幼儿照护服务发展的政策规范体系、服务供给体系和监督管理体系。充分调动社会力量的积极性，多种形式开展婴幼儿照护服务，逐步满足人民群众对婴幼儿照护服务的需求。优化生育政策，增强生育政策包容性，提高优生优育服务水平。实施各项重大工程和重点项目，拓宽</w:t>
      </w:r>
      <w:proofErr w:type="gramStart"/>
      <w:r>
        <w:rPr>
          <w:rFonts w:ascii="仿宋_GB2312" w:eastAsia="仿宋_GB2312" w:hAnsi="Times New Roman" w:cs="Times New Roman" w:hint="eastAsia"/>
          <w:sz w:val="32"/>
          <w:szCs w:val="32"/>
        </w:rPr>
        <w:t>普惠托育</w:t>
      </w:r>
      <w:proofErr w:type="gramEnd"/>
      <w:r>
        <w:rPr>
          <w:rFonts w:ascii="仿宋_GB2312" w:eastAsia="仿宋_GB2312" w:hAnsi="Times New Roman" w:cs="Times New Roman" w:hint="eastAsia"/>
          <w:sz w:val="32"/>
          <w:szCs w:val="32"/>
        </w:rPr>
        <w:t>供给。加大对</w:t>
      </w:r>
      <w:r>
        <w:rPr>
          <w:rFonts w:ascii="仿宋_GB2312" w:eastAsia="仿宋_GB2312" w:hAnsi="Times New Roman" w:cs="Times New Roman" w:hint="eastAsia"/>
          <w:sz w:val="32"/>
          <w:szCs w:val="32"/>
        </w:rPr>
        <w:t>0-3</w:t>
      </w:r>
      <w:r>
        <w:rPr>
          <w:rFonts w:ascii="仿宋_GB2312" w:eastAsia="仿宋_GB2312" w:hAnsi="Times New Roman" w:cs="Times New Roman" w:hint="eastAsia"/>
          <w:sz w:val="32"/>
          <w:szCs w:val="32"/>
        </w:rPr>
        <w:t>岁儿童托幼服务的支持，持续提升托幼服务的便利性、安全性，着力降低生育、养育、教育成本，促进人口长期均衡发</w:t>
      </w:r>
      <w:r>
        <w:rPr>
          <w:rFonts w:ascii="仿宋_GB2312" w:eastAsia="仿宋_GB2312" w:hAnsi="Times New Roman" w:cs="Times New Roman" w:hint="eastAsia"/>
          <w:sz w:val="32"/>
          <w:szCs w:val="32"/>
        </w:rPr>
        <w:t>展，提高人口素质。到“十四五”期末，基本形成覆盖城乡的婴幼儿照护服务体系，婴幼儿照护服务水平明显提升。</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406" w:name="_Toc22563"/>
      <w:bookmarkStart w:id="407" w:name="_Toc18426"/>
      <w:bookmarkStart w:id="408" w:name="_Toc2711"/>
      <w:bookmarkStart w:id="409" w:name="_Toc65153925"/>
      <w:bookmarkStart w:id="410" w:name="_Toc27472"/>
      <w:bookmarkStart w:id="411" w:name="_Toc8990"/>
      <w:bookmarkStart w:id="412" w:name="_Toc17177"/>
      <w:bookmarkStart w:id="413" w:name="_Toc17863"/>
      <w:bookmarkStart w:id="414" w:name="_Toc20321"/>
      <w:bookmarkStart w:id="415" w:name="_Toc19383"/>
      <w:bookmarkStart w:id="416" w:name="_Toc22514"/>
      <w:bookmarkStart w:id="417" w:name="_Toc23774"/>
      <w:bookmarkStart w:id="418" w:name="_Toc10168"/>
      <w:bookmarkStart w:id="419" w:name="_Toc84804963"/>
      <w:r>
        <w:rPr>
          <w:rFonts w:ascii="Calibri" w:eastAsia="楷体" w:hAnsi="Calibri" w:cs="黑体"/>
          <w:b/>
          <w:bCs/>
          <w:sz w:val="32"/>
        </w:rPr>
        <w:t>3.</w:t>
      </w:r>
      <w:r>
        <w:rPr>
          <w:rFonts w:ascii="Calibri" w:eastAsia="楷体" w:hAnsi="Calibri" w:cs="黑体" w:hint="eastAsia"/>
          <w:b/>
          <w:bCs/>
          <w:sz w:val="32"/>
        </w:rPr>
        <w:t>促进妇女儿童健康</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仿宋_GB2312" w:cs="仿宋_GB2312" w:hint="eastAsia"/>
          <w:sz w:val="32"/>
          <w:szCs w:val="32"/>
        </w:rPr>
        <w:t>加强妇幼健康水平。推进妇幼保健机构和基层卫生院妇</w:t>
      </w:r>
      <w:r>
        <w:rPr>
          <w:rFonts w:ascii="仿宋_GB2312" w:eastAsia="仿宋_GB2312" w:hAnsi="仿宋_GB2312" w:cs="仿宋_GB2312" w:hint="eastAsia"/>
          <w:sz w:val="32"/>
          <w:szCs w:val="32"/>
        </w:rPr>
        <w:lastRenderedPageBreak/>
        <w:t>幼保健建设与发展。强化孕产保健，推进优生优育全程服务，搭建多部门信息互联共享平台，构建涵盖婚前、孕前、孕期、新生儿各阶段的疾病筛查、监测和防治网络，扩大新生儿疾病筛查病种，预防和减少出生缺陷。规范</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产期医疗保健服务，健全危重</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产妇转诊网络，提升</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产妇和新生儿危急重症救治能力，保障母婴安全。提高婚前保健及孕前优生健康检查覆盖面，有效落实出</w:t>
      </w:r>
      <w:r>
        <w:rPr>
          <w:rFonts w:ascii="仿宋_GB2312" w:eastAsia="仿宋_GB2312" w:hAnsi="仿宋_GB2312" w:cs="仿宋_GB2312" w:hint="eastAsia"/>
          <w:sz w:val="32"/>
          <w:szCs w:val="32"/>
        </w:rPr>
        <w:t>生缺陷三级防控。强化基层卫生院妇幼保健能力，增强</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产期检查、产后访视的质量水平。到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年，孕产妇死亡率控制在</w:t>
      </w:r>
      <w:r>
        <w:rPr>
          <w:rFonts w:ascii="仿宋_GB2312" w:eastAsia="仿宋_GB2312" w:hAnsi="仿宋_GB2312" w:cs="仿宋_GB2312" w:hint="eastAsia"/>
          <w:sz w:val="32"/>
          <w:szCs w:val="32"/>
        </w:rPr>
        <w:t>10/10</w:t>
      </w:r>
      <w:r>
        <w:rPr>
          <w:rFonts w:ascii="仿宋_GB2312" w:eastAsia="仿宋_GB2312" w:hAnsi="仿宋_GB2312" w:cs="仿宋_GB2312" w:hint="eastAsia"/>
          <w:sz w:val="32"/>
          <w:szCs w:val="32"/>
        </w:rPr>
        <w:t>万以内，有效控制艾滋病、梅毒、乙肝母婴传播，不断提高妇女常见病筛查率和早诊早治率。完善国家免费计划生育技术服务政策，提高生殖健康水平，减少非意愿妊娠。加强</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岁儿童</w:t>
      </w:r>
      <w:r>
        <w:rPr>
          <w:rFonts w:ascii="仿宋_GB2312" w:eastAsia="仿宋_GB2312" w:hAnsi="Times New Roman" w:cs="Times New Roman" w:hint="eastAsia"/>
          <w:sz w:val="32"/>
          <w:szCs w:val="32"/>
        </w:rPr>
        <w:t>生长发育监测、眼保健和视力检查、牙齿、心理行为发育评估与指导等健康管理。</w:t>
      </w:r>
      <w:r>
        <w:rPr>
          <w:rFonts w:ascii="仿宋_GB2312" w:eastAsia="仿宋_GB2312" w:hAnsi="仿宋_GB2312" w:cs="仿宋_GB2312" w:hint="eastAsia"/>
          <w:sz w:val="32"/>
          <w:szCs w:val="32"/>
        </w:rPr>
        <w:t>强化母婴保健技术、人类辅助生殖技术的监督管理。</w:t>
      </w:r>
      <w:r>
        <w:rPr>
          <w:rFonts w:ascii="仿宋_GB2312" w:eastAsia="仿宋_GB2312" w:hAnsi="Times New Roman" w:cs="Times New Roman" w:hint="eastAsia"/>
          <w:sz w:val="32"/>
          <w:szCs w:val="32"/>
        </w:rPr>
        <w:t>以学生近视、肥胖、脊柱弯曲异常为重点，做好学生重点常见病的综合防控工作。</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420" w:name="_Toc729"/>
      <w:bookmarkStart w:id="421" w:name="_Toc3887"/>
      <w:bookmarkStart w:id="422" w:name="_Toc31763"/>
      <w:bookmarkStart w:id="423" w:name="_Toc27534"/>
      <w:bookmarkStart w:id="424" w:name="_Toc65153926"/>
      <w:bookmarkStart w:id="425" w:name="_Toc6991"/>
      <w:bookmarkStart w:id="426" w:name="_Toc30145"/>
      <w:bookmarkStart w:id="427" w:name="_Toc5221"/>
      <w:bookmarkStart w:id="428" w:name="_Toc23245"/>
      <w:bookmarkStart w:id="429" w:name="_Toc30817"/>
      <w:bookmarkStart w:id="430" w:name="_Toc18081"/>
      <w:bookmarkStart w:id="431" w:name="_Toc26862"/>
      <w:bookmarkStart w:id="432" w:name="_Toc3044"/>
      <w:bookmarkStart w:id="433" w:name="_Toc22211"/>
      <w:bookmarkStart w:id="434" w:name="_Toc17982"/>
      <w:bookmarkStart w:id="435" w:name="_Toc21700"/>
      <w:bookmarkStart w:id="436" w:name="_Toc6482"/>
      <w:bookmarkStart w:id="437" w:name="_Toc84804964"/>
      <w:r>
        <w:rPr>
          <w:rFonts w:ascii="Calibri" w:eastAsia="楷体" w:hAnsi="Calibri" w:cs="黑体"/>
          <w:b/>
          <w:bCs/>
          <w:sz w:val="32"/>
        </w:rPr>
        <w:t>4.</w:t>
      </w:r>
      <w:r>
        <w:rPr>
          <w:rFonts w:ascii="Calibri" w:eastAsia="楷体" w:hAnsi="Calibri" w:cs="黑体" w:hint="eastAsia"/>
          <w:b/>
          <w:bCs/>
          <w:sz w:val="32"/>
        </w:rPr>
        <w:t>加强职业健康保护</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建立完善用</w:t>
      </w:r>
      <w:r>
        <w:rPr>
          <w:rFonts w:ascii="仿宋_GB2312" w:eastAsia="仿宋_GB2312" w:hAnsi="Times New Roman" w:cs="Times New Roman" w:hint="eastAsia"/>
          <w:sz w:val="32"/>
          <w:szCs w:val="32"/>
        </w:rPr>
        <w:t>人单位负责、行政机关监管、行业自律、职工参与和社会监督的职业病防治机制。推动用人单位落实职业病防治主体责任。建立完善职业</w:t>
      </w:r>
      <w:proofErr w:type="gramStart"/>
      <w:r>
        <w:rPr>
          <w:rFonts w:ascii="仿宋_GB2312" w:eastAsia="仿宋_GB2312" w:hAnsi="Times New Roman" w:cs="Times New Roman" w:hint="eastAsia"/>
          <w:sz w:val="32"/>
          <w:szCs w:val="32"/>
        </w:rPr>
        <w:t>健康监督</w:t>
      </w:r>
      <w:proofErr w:type="gramEnd"/>
      <w:r>
        <w:rPr>
          <w:rFonts w:ascii="仿宋_GB2312" w:eastAsia="仿宋_GB2312" w:hAnsi="Times New Roman" w:cs="Times New Roman" w:hint="eastAsia"/>
          <w:sz w:val="32"/>
          <w:szCs w:val="32"/>
        </w:rPr>
        <w:t>执法和分类分级监管机制，实施职业健康“黑名单”管理。健全完善职业病防治技术支撑体系，强化职业病防治技术供给和质量控制。建设职业病监测预警体系，提升全市职业病监测预警能力。加大职业卫生监管力度。</w:t>
      </w:r>
      <w:r>
        <w:rPr>
          <w:rFonts w:ascii="仿宋_GB2312" w:eastAsia="仿宋_GB2312" w:hAnsi="Times New Roman" w:cs="Times New Roman" w:hint="eastAsia"/>
          <w:sz w:val="32"/>
          <w:szCs w:val="32"/>
        </w:rPr>
        <w:t>2021</w:t>
      </w:r>
      <w:r>
        <w:rPr>
          <w:rFonts w:ascii="仿宋_GB2312" w:eastAsia="仿宋_GB2312" w:hAnsi="Times New Roman" w:cs="Times New Roman" w:hint="eastAsia"/>
          <w:sz w:val="32"/>
          <w:szCs w:val="32"/>
        </w:rPr>
        <w:t>年前初步建立我市职业卫生分</w:t>
      </w:r>
      <w:r>
        <w:rPr>
          <w:rFonts w:ascii="仿宋_GB2312" w:eastAsia="仿宋_GB2312" w:hAnsi="Times New Roman" w:cs="Times New Roman" w:hint="eastAsia"/>
          <w:sz w:val="32"/>
          <w:szCs w:val="32"/>
        </w:rPr>
        <w:lastRenderedPageBreak/>
        <w:t>类分级监管执法模式，</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年底前全面启动职业卫生分类分级监督执法，实现职业卫生全行业监管和精准治理严重职业病危害。</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438" w:name="_Toc25921"/>
      <w:bookmarkStart w:id="439" w:name="_Toc12826"/>
      <w:bookmarkStart w:id="440" w:name="_Toc65153927"/>
      <w:bookmarkStart w:id="441" w:name="_Toc7110"/>
      <w:bookmarkStart w:id="442" w:name="_Toc7067"/>
      <w:bookmarkStart w:id="443" w:name="_Toc30833"/>
      <w:bookmarkStart w:id="444" w:name="_Toc5440"/>
      <w:bookmarkStart w:id="445" w:name="_Toc4383"/>
      <w:bookmarkStart w:id="446" w:name="_Toc18030"/>
      <w:bookmarkStart w:id="447" w:name="_Toc30655"/>
      <w:bookmarkStart w:id="448" w:name="_Toc13930"/>
      <w:bookmarkStart w:id="449" w:name="_Toc2045"/>
      <w:bookmarkStart w:id="450" w:name="_Toc24644"/>
      <w:bookmarkStart w:id="451" w:name="_Toc17007"/>
      <w:bookmarkStart w:id="452" w:name="_Toc5138"/>
      <w:bookmarkStart w:id="453" w:name="_Toc28578"/>
      <w:bookmarkStart w:id="454" w:name="_Toc84804965"/>
      <w:r>
        <w:rPr>
          <w:rFonts w:ascii="Calibri" w:eastAsia="楷体" w:hAnsi="Calibri" w:cs="黑体"/>
          <w:b/>
          <w:bCs/>
          <w:sz w:val="32"/>
        </w:rPr>
        <w:t>5.</w:t>
      </w:r>
      <w:r>
        <w:rPr>
          <w:rFonts w:ascii="Calibri" w:eastAsia="楷体" w:hAnsi="Calibri" w:cs="黑体" w:hint="eastAsia"/>
          <w:b/>
          <w:bCs/>
          <w:sz w:val="32"/>
        </w:rPr>
        <w:t>促进老年健康</w:t>
      </w:r>
      <w:bookmarkEnd w:id="438"/>
      <w:bookmarkEnd w:id="439"/>
      <w:bookmarkEnd w:id="440"/>
      <w:bookmarkEnd w:id="441"/>
      <w:bookmarkEnd w:id="442"/>
      <w:bookmarkEnd w:id="443"/>
      <w:bookmarkEnd w:id="444"/>
      <w:r>
        <w:rPr>
          <w:rFonts w:ascii="Calibri" w:eastAsia="楷体" w:hAnsi="Calibri" w:cs="黑体" w:hint="eastAsia"/>
          <w:b/>
          <w:bCs/>
          <w:sz w:val="32"/>
        </w:rPr>
        <w:t>服务</w:t>
      </w:r>
      <w:bookmarkEnd w:id="445"/>
      <w:bookmarkEnd w:id="446"/>
      <w:bookmarkEnd w:id="447"/>
      <w:bookmarkEnd w:id="448"/>
      <w:bookmarkEnd w:id="449"/>
      <w:bookmarkEnd w:id="450"/>
      <w:bookmarkEnd w:id="451"/>
      <w:bookmarkEnd w:id="452"/>
      <w:bookmarkEnd w:id="453"/>
      <w:bookmarkEnd w:id="454"/>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健全老年健康服务体</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建立健全老年健康危险因素干预、疾病早发现早诊断早治疗、失能预防三级预防体系，强化</w:t>
      </w:r>
      <w:r>
        <w:rPr>
          <w:rFonts w:ascii="仿宋_GB2312" w:eastAsia="仿宋_GB2312" w:hAnsi="Times New Roman" w:cs="Times New Roman" w:hint="eastAsia"/>
          <w:sz w:val="32"/>
          <w:szCs w:val="32"/>
        </w:rPr>
        <w:t>65</w:t>
      </w:r>
      <w:r>
        <w:rPr>
          <w:rFonts w:ascii="仿宋_GB2312" w:eastAsia="仿宋_GB2312" w:hAnsi="Times New Roman" w:cs="Times New Roman" w:hint="eastAsia"/>
          <w:sz w:val="32"/>
          <w:szCs w:val="32"/>
        </w:rPr>
        <w:t>岁以上老年人健康管理和老年人中医药健康管理。实施老年健康服务保障工程，推动二级及以上综合性医院开设老年医学科和老年康复科，提高基层医疗卫生机构的康复、护理床位占比。开展老年友善医疗机构建设工作，推进医疗机构落实老年人医疗服务优待政策</w:t>
      </w:r>
      <w:r>
        <w:rPr>
          <w:rFonts w:ascii="仿宋_GB2312" w:eastAsia="仿宋_GB2312" w:hint="eastAsia"/>
          <w:sz w:val="32"/>
          <w:szCs w:val="32"/>
        </w:rPr>
        <w:t>，深入推进医疗资源与养老资源相结合</w:t>
      </w:r>
      <w:r>
        <w:rPr>
          <w:rFonts w:ascii="仿宋_GB2312" w:eastAsia="仿宋_GB2312" w:hAnsi="Times New Roman" w:cs="Times New Roman" w:hint="eastAsia"/>
          <w:sz w:val="32"/>
          <w:szCs w:val="32"/>
        </w:rPr>
        <w:t>。优化就医流程，为老年人就医提供便利服务。医疗卫生机构建立老年人挂号、就医绿色通道比例达到</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。开展</w:t>
      </w:r>
      <w:proofErr w:type="gramStart"/>
      <w:r>
        <w:rPr>
          <w:rFonts w:ascii="仿宋_GB2312" w:eastAsia="仿宋_GB2312" w:hAnsi="Times New Roman" w:cs="Times New Roman" w:hint="eastAsia"/>
          <w:sz w:val="32"/>
          <w:szCs w:val="32"/>
        </w:rPr>
        <w:t>安宁疗护试点</w:t>
      </w:r>
      <w:proofErr w:type="gramEnd"/>
      <w:r>
        <w:rPr>
          <w:rFonts w:ascii="仿宋_GB2312" w:eastAsia="仿宋_GB2312" w:hAnsi="Times New Roman" w:cs="Times New Roman" w:hint="eastAsia"/>
          <w:sz w:val="32"/>
          <w:szCs w:val="32"/>
        </w:rPr>
        <w:t>，促进发展多层次</w:t>
      </w:r>
      <w:proofErr w:type="gramStart"/>
      <w:r>
        <w:rPr>
          <w:rFonts w:ascii="仿宋_GB2312" w:eastAsia="仿宋_GB2312" w:hAnsi="Times New Roman" w:cs="Times New Roman" w:hint="eastAsia"/>
          <w:sz w:val="32"/>
          <w:szCs w:val="32"/>
        </w:rPr>
        <w:t>安宁疗护服务</w:t>
      </w:r>
      <w:proofErr w:type="gramEnd"/>
      <w:r>
        <w:rPr>
          <w:rFonts w:ascii="仿宋_GB2312" w:eastAsia="仿宋_GB2312" w:hAnsi="Times New Roman" w:cs="Times New Roman" w:hint="eastAsia"/>
          <w:sz w:val="32"/>
          <w:szCs w:val="32"/>
        </w:rPr>
        <w:t>。</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455" w:name="_Toc10622"/>
      <w:bookmarkStart w:id="456" w:name="_Toc409"/>
      <w:bookmarkStart w:id="457" w:name="_Toc10884"/>
      <w:bookmarkStart w:id="458" w:name="_Toc65153928"/>
      <w:bookmarkStart w:id="459" w:name="_Toc11808"/>
      <w:bookmarkStart w:id="460" w:name="_Toc21917"/>
      <w:bookmarkStart w:id="461" w:name="_Toc27066"/>
      <w:bookmarkStart w:id="462" w:name="_Toc12107"/>
      <w:bookmarkStart w:id="463" w:name="_Toc24834"/>
      <w:bookmarkStart w:id="464" w:name="_Toc27220"/>
      <w:bookmarkStart w:id="465" w:name="_Toc2759"/>
      <w:bookmarkStart w:id="466" w:name="_Toc11956"/>
      <w:bookmarkStart w:id="467" w:name="_Toc9682"/>
      <w:bookmarkStart w:id="468" w:name="_Toc23814"/>
      <w:bookmarkStart w:id="469" w:name="_Toc20981"/>
      <w:bookmarkStart w:id="470" w:name="_Toc19701"/>
      <w:bookmarkStart w:id="471" w:name="_Toc84804966"/>
      <w:bookmarkStart w:id="472" w:name="_Toc7291"/>
      <w:r>
        <w:rPr>
          <w:rFonts w:ascii="Calibri" w:eastAsia="楷体" w:hAnsi="Calibri" w:cs="黑体"/>
          <w:b/>
          <w:bCs/>
          <w:sz w:val="32"/>
        </w:rPr>
        <w:t>6.</w:t>
      </w:r>
      <w:r>
        <w:rPr>
          <w:rFonts w:ascii="Calibri" w:eastAsia="楷体" w:hAnsi="Calibri" w:cs="黑体" w:hint="eastAsia"/>
          <w:b/>
          <w:bCs/>
          <w:sz w:val="32"/>
        </w:rPr>
        <w:t>促进残</w:t>
      </w:r>
      <w:r>
        <w:rPr>
          <w:rFonts w:ascii="Calibri" w:eastAsia="楷体" w:hAnsi="Calibri" w:cs="黑体" w:hint="eastAsia"/>
          <w:b/>
          <w:bCs/>
          <w:sz w:val="32"/>
        </w:rPr>
        <w:t>疾人健康</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健全综合医院、康复医院和残疾人康复中心、基层医疗卫生机构三级康复医疗服务体系。健全残疾儿童首诊报告制度。推动将残疾人健康管理纳入基本公共卫生服务体系，推进残疾人家庭医生签约服务。扩大基本医疗保险支付的残疾人医疗康复项目清单，推动将残疾评定、残疾人康复项目和轮椅、假肢等与医疗密切相关的辅具纳入基本医疗保险报销范围。促进残疾人社区康复，支持残疾人主动康复、互助康复。加强残疾人辅助器具</w:t>
      </w:r>
      <w:proofErr w:type="gramStart"/>
      <w:r>
        <w:rPr>
          <w:rFonts w:ascii="仿宋_GB2312" w:eastAsia="仿宋_GB2312" w:hAnsi="Times New Roman" w:cs="Times New Roman" w:hint="eastAsia"/>
          <w:sz w:val="32"/>
          <w:szCs w:val="32"/>
        </w:rPr>
        <w:t>适配服务</w:t>
      </w:r>
      <w:proofErr w:type="gramEnd"/>
      <w:r>
        <w:rPr>
          <w:rFonts w:ascii="仿宋_GB2312" w:eastAsia="仿宋_GB2312" w:hAnsi="Times New Roman" w:cs="Times New Roman" w:hint="eastAsia"/>
          <w:sz w:val="32"/>
          <w:szCs w:val="32"/>
        </w:rPr>
        <w:t>，支持医疗、康复机构开展辅助器具</w:t>
      </w:r>
      <w:proofErr w:type="gramStart"/>
      <w:r>
        <w:rPr>
          <w:rFonts w:ascii="仿宋_GB2312" w:eastAsia="仿宋_GB2312" w:hAnsi="Times New Roman" w:cs="Times New Roman" w:hint="eastAsia"/>
          <w:sz w:val="32"/>
          <w:szCs w:val="32"/>
        </w:rPr>
        <w:t>适配服务</w:t>
      </w:r>
      <w:proofErr w:type="gramEnd"/>
      <w:r>
        <w:rPr>
          <w:rFonts w:ascii="仿宋_GB2312" w:eastAsia="仿宋_GB2312" w:hAnsi="Times New Roman" w:cs="Times New Roman" w:hint="eastAsia"/>
          <w:sz w:val="32"/>
          <w:szCs w:val="32"/>
        </w:rPr>
        <w:t>。</w:t>
      </w:r>
    </w:p>
    <w:p w:rsidR="00D70FB0" w:rsidRDefault="00EE7950">
      <w:pPr>
        <w:keepNext/>
        <w:keepLines/>
        <w:adjustRightInd w:val="0"/>
        <w:snapToGrid w:val="0"/>
        <w:spacing w:line="560" w:lineRule="exact"/>
        <w:ind w:firstLineChars="200" w:firstLine="643"/>
        <w:outlineLvl w:val="1"/>
        <w:rPr>
          <w:rFonts w:ascii="Arial" w:eastAsia="楷体" w:hAnsi="Arial" w:cs="黑体"/>
          <w:b/>
          <w:bCs/>
          <w:position w:val="6"/>
          <w:sz w:val="32"/>
        </w:rPr>
      </w:pPr>
      <w:bookmarkStart w:id="473" w:name="_Toc23869"/>
      <w:bookmarkStart w:id="474" w:name="_Toc65153929"/>
      <w:bookmarkStart w:id="475" w:name="_Toc8631"/>
      <w:bookmarkStart w:id="476" w:name="_Toc22477"/>
      <w:bookmarkStart w:id="477" w:name="_Toc1633"/>
      <w:bookmarkStart w:id="478" w:name="_Toc25781"/>
      <w:bookmarkStart w:id="479" w:name="_Toc27380"/>
      <w:bookmarkStart w:id="480" w:name="_Toc16032"/>
      <w:bookmarkStart w:id="481" w:name="_Toc31858"/>
      <w:bookmarkStart w:id="482" w:name="_Toc19237"/>
      <w:bookmarkStart w:id="483" w:name="_Toc24800"/>
      <w:bookmarkStart w:id="484" w:name="_Toc26125"/>
      <w:bookmarkStart w:id="485" w:name="_Toc20522"/>
      <w:bookmarkStart w:id="486" w:name="_Toc22593"/>
      <w:bookmarkStart w:id="487" w:name="_Toc28536"/>
      <w:bookmarkStart w:id="488" w:name="_Toc20485"/>
      <w:bookmarkStart w:id="489" w:name="_Toc26020"/>
      <w:bookmarkStart w:id="490" w:name="_Toc84804967"/>
      <w:r>
        <w:rPr>
          <w:rFonts w:ascii="Arial" w:eastAsia="楷体" w:hAnsi="Arial" w:cs="黑体" w:hint="eastAsia"/>
          <w:b/>
          <w:sz w:val="32"/>
        </w:rPr>
        <w:lastRenderedPageBreak/>
        <w:t>（五）持续深化医药卫生体制改革</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
          <w:bCs/>
          <w:sz w:val="32"/>
        </w:rPr>
      </w:pPr>
      <w:bookmarkStart w:id="491" w:name="_Toc28568"/>
      <w:bookmarkStart w:id="492" w:name="_Toc24236"/>
      <w:bookmarkStart w:id="493" w:name="_Toc21887"/>
      <w:bookmarkStart w:id="494" w:name="_Toc25449"/>
      <w:bookmarkStart w:id="495" w:name="_Toc29113"/>
      <w:bookmarkStart w:id="496" w:name="_Toc11690"/>
      <w:bookmarkStart w:id="497" w:name="_Toc23958"/>
      <w:bookmarkStart w:id="498" w:name="_Toc6322"/>
      <w:bookmarkStart w:id="499" w:name="_Toc2707"/>
      <w:bookmarkStart w:id="500" w:name="_Toc84804968"/>
      <w:bookmarkStart w:id="501" w:name="_Toc3911"/>
      <w:bookmarkStart w:id="502" w:name="_Toc27129"/>
      <w:bookmarkStart w:id="503" w:name="_Toc26559"/>
      <w:bookmarkStart w:id="504" w:name="_Toc65153930"/>
      <w:bookmarkStart w:id="505" w:name="_Toc14592"/>
      <w:bookmarkStart w:id="506" w:name="_Toc21261"/>
      <w:bookmarkStart w:id="507" w:name="_Toc29091"/>
      <w:bookmarkStart w:id="508" w:name="_Toc1573"/>
      <w:r>
        <w:rPr>
          <w:rFonts w:ascii="Calibri" w:eastAsia="楷体" w:hAnsi="Calibri" w:cs="黑体" w:hint="eastAsia"/>
          <w:b/>
          <w:bCs/>
          <w:sz w:val="32"/>
        </w:rPr>
        <w:t>1.</w:t>
      </w:r>
      <w:r>
        <w:rPr>
          <w:rFonts w:ascii="Calibri" w:eastAsia="楷体" w:hAnsi="Calibri" w:cs="黑体" w:hint="eastAsia"/>
          <w:b/>
          <w:bCs/>
          <w:sz w:val="32"/>
        </w:rPr>
        <w:t>加快建设完善分级诊疗体系</w:t>
      </w:r>
      <w:bookmarkEnd w:id="491"/>
      <w:bookmarkEnd w:id="492"/>
      <w:bookmarkEnd w:id="493"/>
      <w:bookmarkEnd w:id="494"/>
      <w:bookmarkEnd w:id="495"/>
      <w:bookmarkEnd w:id="496"/>
      <w:bookmarkEnd w:id="497"/>
      <w:bookmarkEnd w:id="498"/>
      <w:bookmarkEnd w:id="499"/>
      <w:bookmarkEnd w:id="500"/>
    </w:p>
    <w:bookmarkEnd w:id="501"/>
    <w:bookmarkEnd w:id="502"/>
    <w:bookmarkEnd w:id="503"/>
    <w:bookmarkEnd w:id="504"/>
    <w:bookmarkEnd w:id="505"/>
    <w:bookmarkEnd w:id="506"/>
    <w:bookmarkEnd w:id="507"/>
    <w:bookmarkEnd w:id="508"/>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充分发挥基层医疗卫生机构的“滤网”作用，将常见病、多发病、慢性病留在基层就诊，真正实现基层首诊、双向转诊、急慢分治、上下联动的分级诊疗模式。加强紧密型</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共体建设。积极推进紧密型县域医疗卫生共同体建设国家试点</w:t>
      </w:r>
      <w:proofErr w:type="gramStart"/>
      <w:r>
        <w:rPr>
          <w:rFonts w:ascii="仿宋_GB2312" w:eastAsia="仿宋_GB2312" w:hAnsi="Times New Roman" w:cs="Times New Roman" w:hint="eastAsia"/>
          <w:sz w:val="32"/>
          <w:szCs w:val="32"/>
        </w:rPr>
        <w:t>县相关</w:t>
      </w:r>
      <w:proofErr w:type="gramEnd"/>
      <w:r>
        <w:rPr>
          <w:rFonts w:ascii="仿宋_GB2312" w:eastAsia="仿宋_GB2312" w:hAnsi="Times New Roman" w:cs="Times New Roman" w:hint="eastAsia"/>
          <w:sz w:val="32"/>
          <w:szCs w:val="32"/>
        </w:rPr>
        <w:t>工作，全面落实县域</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共体自主权和“六统一”管理，协调推进人事薪酬、药品供应、</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保支付、医疗服务价格调整等改革措施，建成目标明确、权责清晰、分工协作、服务优质、有效运行的县域</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共体。加强县级医院对乡镇卫生院和村卫生站的统筹管理。建立完善分级诊疗技术标准和工作机制，加快推进医疗卫生机构间电子健康档案和电</w:t>
      </w:r>
      <w:r>
        <w:rPr>
          <w:rFonts w:ascii="仿宋_GB2312" w:eastAsia="仿宋_GB2312" w:hAnsi="Times New Roman" w:cs="Times New Roman" w:hint="eastAsia"/>
          <w:sz w:val="32"/>
          <w:szCs w:val="32"/>
        </w:rPr>
        <w:t>子病历等信息共享，</w:t>
      </w:r>
      <w:r>
        <w:rPr>
          <w:rFonts w:ascii="仿宋_GB2312" w:eastAsia="仿宋_GB2312" w:hAnsi="Times New Roman" w:cs="Times New Roman" w:hint="eastAsia"/>
          <w:sz w:val="32"/>
          <w:szCs w:val="32"/>
        </w:rPr>
        <w:t>方便</w:t>
      </w:r>
      <w:r>
        <w:rPr>
          <w:rFonts w:ascii="仿宋_GB2312" w:eastAsia="仿宋_GB2312" w:hAnsi="Times New Roman" w:cs="Times New Roman" w:hint="eastAsia"/>
          <w:sz w:val="32"/>
          <w:szCs w:val="32"/>
        </w:rPr>
        <w:t>患者顺畅转诊和连续诊疗。建立以全科医生为主体、全科专科有效联动、</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防有机融合的家庭医生签约服务模式，提高履约服务质量。</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
          <w:bCs/>
          <w:sz w:val="32"/>
        </w:rPr>
      </w:pPr>
      <w:bookmarkStart w:id="509" w:name="_Toc5504"/>
      <w:bookmarkStart w:id="510" w:name="_Toc18907"/>
      <w:bookmarkStart w:id="511" w:name="_Toc7916"/>
      <w:bookmarkStart w:id="512" w:name="_Toc27625"/>
      <w:bookmarkStart w:id="513" w:name="_Toc26621"/>
      <w:bookmarkStart w:id="514" w:name="_Toc30790"/>
      <w:bookmarkStart w:id="515" w:name="_Toc26005"/>
      <w:bookmarkStart w:id="516" w:name="_Toc3389"/>
      <w:bookmarkStart w:id="517" w:name="_Toc20351"/>
      <w:bookmarkStart w:id="518" w:name="_Toc84804969"/>
      <w:bookmarkStart w:id="519" w:name="_Toc28261"/>
      <w:bookmarkStart w:id="520" w:name="_Toc31318"/>
      <w:bookmarkStart w:id="521" w:name="_Toc20088"/>
      <w:bookmarkStart w:id="522" w:name="_Toc65153931"/>
      <w:bookmarkStart w:id="523" w:name="_Toc3214"/>
      <w:bookmarkStart w:id="524" w:name="_Toc28276"/>
      <w:bookmarkStart w:id="525" w:name="_Toc1907"/>
      <w:r>
        <w:rPr>
          <w:rFonts w:ascii="Calibri" w:eastAsia="楷体" w:hAnsi="Calibri" w:cs="黑体"/>
          <w:b/>
          <w:bCs/>
          <w:sz w:val="32"/>
        </w:rPr>
        <w:t>2.</w:t>
      </w:r>
      <w:r>
        <w:rPr>
          <w:rFonts w:ascii="Calibri" w:eastAsia="楷体" w:hAnsi="Calibri" w:cs="黑体" w:hint="eastAsia"/>
          <w:b/>
          <w:bCs/>
          <w:sz w:val="32"/>
        </w:rPr>
        <w:t>推动公立医院高质量发展</w:t>
      </w:r>
      <w:bookmarkEnd w:id="509"/>
      <w:bookmarkEnd w:id="510"/>
      <w:bookmarkEnd w:id="511"/>
      <w:bookmarkEnd w:id="512"/>
      <w:bookmarkEnd w:id="513"/>
      <w:bookmarkEnd w:id="514"/>
      <w:bookmarkEnd w:id="515"/>
      <w:bookmarkEnd w:id="516"/>
      <w:bookmarkEnd w:id="517"/>
      <w:bookmarkEnd w:id="518"/>
    </w:p>
    <w:p w:rsidR="00D70FB0" w:rsidRDefault="00EE7950">
      <w:pPr>
        <w:adjustRightInd w:val="0"/>
        <w:snapToGrid w:val="0"/>
        <w:spacing w:line="560" w:lineRule="exact"/>
        <w:ind w:firstLineChars="200" w:firstLine="640"/>
        <w:jc w:val="left"/>
        <w:rPr>
          <w:rFonts w:ascii="仿宋_GB2312" w:eastAsia="仿宋_GB2312" w:hAnsi="Times New Roman" w:cs="Times New Roman"/>
          <w:sz w:val="32"/>
          <w:szCs w:val="32"/>
        </w:rPr>
      </w:pPr>
      <w:bookmarkStart w:id="526" w:name="_Toc27266"/>
      <w:bookmarkStart w:id="527" w:name="_Toc13767"/>
      <w:bookmarkEnd w:id="519"/>
      <w:bookmarkEnd w:id="520"/>
      <w:bookmarkEnd w:id="521"/>
      <w:bookmarkEnd w:id="522"/>
      <w:bookmarkEnd w:id="523"/>
      <w:bookmarkEnd w:id="524"/>
      <w:bookmarkEnd w:id="525"/>
      <w:r>
        <w:rPr>
          <w:rFonts w:ascii="仿宋_GB2312" w:eastAsia="仿宋_GB2312" w:hAnsi="Times New Roman" w:cs="Times New Roman" w:hint="eastAsia"/>
          <w:sz w:val="32"/>
          <w:szCs w:val="32"/>
        </w:rPr>
        <w:t>深化公立医院综合改革。进一步健全医疗卫生机构和医务人员绩效考核机制，推进建立健全现代医院管理制度试点，深入开展公立医院综合改革示范和绩效评价工作；建立和完善医疗服务价格动态调整机制，加强对公立医院医疗服务价格、成本、费用、收入分配及改革运行情况的监测；深化薪酬制度和编制管理改革，全面推开公立医院薪酬制度改革，建立健全医疗卫生机构保障和激励相</w:t>
      </w:r>
      <w:r>
        <w:rPr>
          <w:rFonts w:ascii="仿宋_GB2312" w:eastAsia="仿宋_GB2312" w:hAnsi="Times New Roman" w:cs="Times New Roman" w:hint="eastAsia"/>
          <w:sz w:val="32"/>
          <w:szCs w:val="32"/>
        </w:rPr>
        <w:t>结合的运行机制。</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528" w:name="_Toc2022"/>
      <w:bookmarkStart w:id="529" w:name="_Toc17778"/>
      <w:bookmarkStart w:id="530" w:name="_Toc24556"/>
      <w:bookmarkStart w:id="531" w:name="_Toc65153932"/>
      <w:bookmarkStart w:id="532" w:name="_Toc2413"/>
      <w:bookmarkStart w:id="533" w:name="_Toc17055"/>
      <w:bookmarkStart w:id="534" w:name="_Toc17975"/>
      <w:bookmarkStart w:id="535" w:name="_Toc23451"/>
      <w:bookmarkStart w:id="536" w:name="_Toc30902"/>
      <w:bookmarkStart w:id="537" w:name="_Toc8221"/>
      <w:bookmarkStart w:id="538" w:name="_Toc21412"/>
      <w:bookmarkStart w:id="539" w:name="_Toc3834"/>
      <w:bookmarkStart w:id="540" w:name="_Toc26712"/>
      <w:bookmarkStart w:id="541" w:name="_Toc12628"/>
      <w:bookmarkStart w:id="542" w:name="_Toc15101"/>
      <w:bookmarkStart w:id="543" w:name="_Toc28418"/>
      <w:bookmarkStart w:id="544" w:name="_Toc84804970"/>
      <w:bookmarkEnd w:id="526"/>
      <w:r>
        <w:rPr>
          <w:rFonts w:ascii="Calibri" w:eastAsia="楷体" w:hAnsi="Calibri" w:cs="黑体"/>
          <w:b/>
          <w:bCs/>
          <w:sz w:val="32"/>
        </w:rPr>
        <w:lastRenderedPageBreak/>
        <w:t>3.</w:t>
      </w:r>
      <w:r>
        <w:rPr>
          <w:rFonts w:ascii="Calibri" w:eastAsia="楷体" w:hAnsi="Calibri" w:cs="黑体" w:hint="eastAsia"/>
          <w:b/>
          <w:bCs/>
          <w:sz w:val="32"/>
        </w:rPr>
        <w:t>完善医疗保障体系</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D70FB0" w:rsidRDefault="00EE7950">
      <w:pPr>
        <w:spacing w:line="560" w:lineRule="exact"/>
        <w:ind w:firstLineChars="200" w:firstLine="640"/>
        <w:jc w:val="left"/>
        <w:rPr>
          <w:rFonts w:ascii="仿宋_GB2312" w:eastAsia="仿宋_GB2312" w:hAnsi="Times New Roman" w:cs="Times New Roman"/>
          <w:sz w:val="32"/>
          <w:szCs w:val="32"/>
        </w:rPr>
      </w:pPr>
      <w:bookmarkStart w:id="545" w:name="_Toc379"/>
      <w:bookmarkEnd w:id="527"/>
      <w:r>
        <w:rPr>
          <w:rFonts w:ascii="仿宋_GB2312" w:eastAsia="仿宋_GB2312" w:hAnsi="Times New Roman" w:cs="Times New Roman" w:hint="eastAsia"/>
          <w:sz w:val="32"/>
          <w:szCs w:val="32"/>
        </w:rPr>
        <w:t>加快构建以促进健康为导向的创新型医疗保障制度，健全基本</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保</w:t>
      </w:r>
      <w:proofErr w:type="gramStart"/>
      <w:r>
        <w:rPr>
          <w:rFonts w:ascii="仿宋_GB2312" w:eastAsia="仿宋_GB2312" w:hAnsi="Times New Roman" w:cs="Times New Roman" w:hint="eastAsia"/>
          <w:sz w:val="32"/>
          <w:szCs w:val="32"/>
        </w:rPr>
        <w:t>稳健可</w:t>
      </w:r>
      <w:proofErr w:type="gramEnd"/>
      <w:r>
        <w:rPr>
          <w:rFonts w:ascii="仿宋_GB2312" w:eastAsia="仿宋_GB2312" w:hAnsi="Times New Roman" w:cs="Times New Roman" w:hint="eastAsia"/>
          <w:sz w:val="32"/>
          <w:szCs w:val="32"/>
        </w:rPr>
        <w:t>持续筹资运行机制。完善</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保基金总额预算管理，深化</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保支付方式改革，完善以按病种分值付费为主的多元复合支付方式。健全重大疾病医疗保险和救助制度，引导商业健康保险发展，根据国家和省统一部署探索建立长期护理保险制度。优化医疗保障公共服务，完善省内异地就医直接结算服务，推进门诊异地就医和门诊特定病种直接结算。建立重大疫情医疗救治费用保障机制，在突发疫情等紧急情况时，确保医疗机构先救治、后收费。提高康复服务的费用保</w:t>
      </w:r>
      <w:r>
        <w:rPr>
          <w:rFonts w:ascii="仿宋_GB2312" w:eastAsia="仿宋_GB2312" w:hAnsi="Times New Roman" w:cs="Times New Roman" w:hint="eastAsia"/>
          <w:sz w:val="32"/>
          <w:szCs w:val="32"/>
        </w:rPr>
        <w:t>障力度。</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546" w:name="_Toc9399"/>
      <w:bookmarkStart w:id="547" w:name="_Toc29969"/>
      <w:bookmarkStart w:id="548" w:name="_Toc6618"/>
      <w:bookmarkStart w:id="549" w:name="_Toc9543"/>
      <w:bookmarkStart w:id="550" w:name="_Toc17466"/>
      <w:bookmarkStart w:id="551" w:name="_Toc65153933"/>
      <w:bookmarkStart w:id="552" w:name="_Toc1768"/>
      <w:bookmarkStart w:id="553" w:name="_Toc8047"/>
      <w:bookmarkStart w:id="554" w:name="_Toc13977"/>
      <w:bookmarkStart w:id="555" w:name="_Toc4150"/>
      <w:bookmarkStart w:id="556" w:name="_Toc12798"/>
      <w:bookmarkStart w:id="557" w:name="_Toc3843"/>
      <w:bookmarkStart w:id="558" w:name="_Toc22305"/>
      <w:bookmarkStart w:id="559" w:name="_Toc11699"/>
      <w:bookmarkStart w:id="560" w:name="_Toc14098"/>
      <w:bookmarkStart w:id="561" w:name="_Toc32128"/>
      <w:bookmarkStart w:id="562" w:name="_Toc84804971"/>
      <w:r>
        <w:rPr>
          <w:rFonts w:ascii="Calibri" w:eastAsia="楷体" w:hAnsi="Calibri" w:cs="黑体"/>
          <w:b/>
          <w:bCs/>
          <w:sz w:val="32"/>
        </w:rPr>
        <w:t>4.</w:t>
      </w:r>
      <w:r>
        <w:rPr>
          <w:rFonts w:ascii="Calibri" w:eastAsia="楷体" w:hAnsi="Calibri" w:cs="黑体" w:hint="eastAsia"/>
          <w:b/>
          <w:bCs/>
          <w:sz w:val="32"/>
        </w:rPr>
        <w:t>完善药品供应保障</w:t>
      </w:r>
      <w:bookmarkEnd w:id="545"/>
      <w:bookmarkEnd w:id="546"/>
      <w:r>
        <w:rPr>
          <w:rFonts w:ascii="Calibri" w:eastAsia="楷体" w:hAnsi="Calibri" w:cs="黑体" w:hint="eastAsia"/>
          <w:b/>
          <w:bCs/>
          <w:sz w:val="32"/>
        </w:rPr>
        <w:t>制度</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加强药品供应保障。切实做好用药保障。加强重大疾病基本用药临床综合评价，推进医疗机构优先配备使用基本药物。大力推进药品联合招标采购工作，大幅度提高平台采购量，促进药价实质性降低，惠及更多群众。完善药品短缺监测预警和应对机制。加强对麻醉药品和精神药品、放射性药品、医疗用毒性药品等特殊管理药品的管理，做好抗菌药物、抗肿瘤药物、重点监控药物的监测工作。坚持政府主导、市场化运作的原则，在保障供应、保证质量、合理定价等方面发挥主导作用，形成安全有效的质量保障体系，以保障公众的基本用药需求。全面实现药品生产、流通和使用的</w:t>
      </w:r>
      <w:r>
        <w:rPr>
          <w:rFonts w:ascii="仿宋_GB2312" w:eastAsia="仿宋_GB2312" w:hAnsi="Times New Roman" w:cs="Times New Roman" w:hint="eastAsia"/>
          <w:sz w:val="32"/>
          <w:szCs w:val="32"/>
        </w:rPr>
        <w:t>良性运转，实现公众医疗可获得性、可支付性。</w:t>
      </w:r>
    </w:p>
    <w:p w:rsidR="00D70FB0" w:rsidRDefault="00EE7950">
      <w:pPr>
        <w:keepNext/>
        <w:keepLines/>
        <w:adjustRightInd w:val="0"/>
        <w:snapToGrid w:val="0"/>
        <w:spacing w:line="600" w:lineRule="exact"/>
        <w:ind w:firstLineChars="200" w:firstLine="643"/>
        <w:jc w:val="left"/>
        <w:outlineLvl w:val="2"/>
        <w:rPr>
          <w:rFonts w:ascii="Calibri" w:eastAsia="楷体" w:hAnsi="Calibri" w:cs="黑体"/>
          <w:bCs/>
          <w:sz w:val="32"/>
        </w:rPr>
      </w:pPr>
      <w:bookmarkStart w:id="563" w:name="_Toc25281"/>
      <w:bookmarkStart w:id="564" w:name="_Toc31772"/>
      <w:bookmarkStart w:id="565" w:name="_Toc10280"/>
      <w:bookmarkStart w:id="566" w:name="_Toc24394"/>
      <w:bookmarkStart w:id="567" w:name="_Toc11629"/>
      <w:bookmarkStart w:id="568" w:name="_Toc10489"/>
      <w:bookmarkStart w:id="569" w:name="_Toc1264"/>
      <w:bookmarkStart w:id="570" w:name="_Toc65153934"/>
      <w:bookmarkStart w:id="571" w:name="_Toc6590"/>
      <w:bookmarkStart w:id="572" w:name="_Toc25601"/>
      <w:bookmarkStart w:id="573" w:name="_Toc9274"/>
      <w:bookmarkStart w:id="574" w:name="_Toc10795"/>
      <w:bookmarkStart w:id="575" w:name="_Toc7540"/>
      <w:bookmarkStart w:id="576" w:name="_Toc15266"/>
      <w:bookmarkStart w:id="577" w:name="_Toc18814"/>
      <w:bookmarkStart w:id="578" w:name="_Toc1347"/>
      <w:bookmarkStart w:id="579" w:name="_Toc910"/>
      <w:bookmarkStart w:id="580" w:name="_Toc84804972"/>
      <w:r>
        <w:rPr>
          <w:rFonts w:ascii="Calibri" w:eastAsia="楷体" w:hAnsi="Calibri" w:cs="黑体"/>
          <w:b/>
          <w:bCs/>
          <w:sz w:val="32"/>
        </w:rPr>
        <w:lastRenderedPageBreak/>
        <w:t>5.</w:t>
      </w:r>
      <w:r>
        <w:rPr>
          <w:rFonts w:ascii="Calibri" w:eastAsia="楷体" w:hAnsi="Calibri" w:cs="黑体" w:hint="eastAsia"/>
          <w:b/>
          <w:bCs/>
          <w:sz w:val="32"/>
        </w:rPr>
        <w:t>强化医疗卫生行业综合监管</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D70FB0" w:rsidRDefault="00EE7950">
      <w:pPr>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加强全市医疗卫生行业综合监管体系和能力建设，进一步加强并完善各级卫生监督执法机构队伍建设，完善落实机构自治、行业自律、政府监管、社会监督相结合的综合监管机制，健全能力共建、信息共享、相互衔接、协同配合的工作协调机制，重点推进综合监管绩效评价、督察追责相关制度。强化医疗卫生服务要素准入、医疗卫生服务质量和安全、医疗卫生机构运行、公共卫生服务和健康产业新</w:t>
      </w:r>
      <w:proofErr w:type="gramStart"/>
      <w:r>
        <w:rPr>
          <w:rFonts w:ascii="仿宋_GB2312" w:eastAsia="仿宋_GB2312" w:hAnsi="Times New Roman" w:cs="Times New Roman" w:hint="eastAsia"/>
          <w:sz w:val="32"/>
          <w:szCs w:val="32"/>
        </w:rPr>
        <w:t>业态新模式</w:t>
      </w:r>
      <w:proofErr w:type="gramEnd"/>
      <w:r>
        <w:rPr>
          <w:rFonts w:ascii="仿宋_GB2312" w:eastAsia="仿宋_GB2312" w:hAnsi="Times New Roman" w:cs="Times New Roman" w:hint="eastAsia"/>
          <w:sz w:val="32"/>
          <w:szCs w:val="32"/>
        </w:rPr>
        <w:t>监管。强化医疗卫生依法监管。按照“全覆盖”和“分步走”的原则开展传染病分类监</w:t>
      </w:r>
      <w:r>
        <w:rPr>
          <w:rFonts w:ascii="仿宋_GB2312" w:eastAsia="仿宋_GB2312" w:hAnsi="Times New Roman" w:cs="Times New Roman" w:hint="eastAsia"/>
          <w:sz w:val="32"/>
          <w:szCs w:val="32"/>
        </w:rPr>
        <w:t>督综合评价工作，并对未定级医疗机构综合评价比例逐年增加，争取到</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年达到</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以上。加大信息公示力度，发挥信息公开对社会监督的引导作用。</w:t>
      </w:r>
    </w:p>
    <w:p w:rsidR="00D70FB0" w:rsidRDefault="00EE7950">
      <w:pPr>
        <w:pStyle w:val="2"/>
        <w:adjustRightInd w:val="0"/>
        <w:snapToGrid w:val="0"/>
        <w:spacing w:before="0" w:after="0" w:line="560" w:lineRule="exact"/>
        <w:ind w:firstLineChars="200" w:firstLine="643"/>
        <w:rPr>
          <w:rFonts w:eastAsia="楷体" w:cs="黑体"/>
          <w:szCs w:val="22"/>
        </w:rPr>
      </w:pPr>
      <w:bookmarkStart w:id="581" w:name="_Toc84804973"/>
      <w:bookmarkStart w:id="582" w:name="_Toc60758123"/>
      <w:r>
        <w:rPr>
          <w:rFonts w:eastAsia="楷体" w:cs="黑体" w:hint="eastAsia"/>
          <w:szCs w:val="22"/>
        </w:rPr>
        <w:t>（六）推动中医药高质量发展</w:t>
      </w:r>
      <w:bookmarkEnd w:id="581"/>
      <w:bookmarkEnd w:id="582"/>
    </w:p>
    <w:p w:rsidR="00D70FB0" w:rsidRDefault="00EE7950">
      <w:pPr>
        <w:pStyle w:val="2"/>
        <w:adjustRightInd w:val="0"/>
        <w:snapToGrid w:val="0"/>
        <w:spacing w:before="0" w:after="0" w:line="560" w:lineRule="exact"/>
        <w:ind w:firstLineChars="200" w:firstLine="643"/>
        <w:rPr>
          <w:rFonts w:eastAsia="楷体" w:cs="黑体"/>
          <w:szCs w:val="22"/>
        </w:rPr>
      </w:pPr>
      <w:bookmarkStart w:id="583" w:name="_Toc84804974"/>
      <w:r>
        <w:rPr>
          <w:rFonts w:eastAsia="楷体" w:cs="黑体" w:hint="eastAsia"/>
          <w:szCs w:val="22"/>
        </w:rPr>
        <w:t>1</w:t>
      </w:r>
      <w:r>
        <w:rPr>
          <w:rFonts w:eastAsia="楷体" w:cs="黑体"/>
          <w:szCs w:val="22"/>
        </w:rPr>
        <w:t>.</w:t>
      </w:r>
      <w:r>
        <w:rPr>
          <w:rFonts w:eastAsia="楷体" w:cs="黑体" w:hint="eastAsia"/>
          <w:szCs w:val="22"/>
        </w:rPr>
        <w:t>健全优质高效中医药服务体系</w:t>
      </w:r>
      <w:bookmarkEnd w:id="583"/>
    </w:p>
    <w:p w:rsidR="00D70FB0" w:rsidRDefault="00EE7950">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加强县域</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共体建设，培育开平市中医院成为中医药服务龙头，加大对口扶持乡镇卫生院中医建设力度。切实加强</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共体中医药工作，有效建立起以健康为中心、防治结合的整合型中医药服务新体系，为群众提供基本医疗、预防保健、养生康复等覆盖全民全方位全生命周期的中医药服务。鼓励和支持具有特色优势的中医诊所和门诊部（中医馆、国医堂</w:t>
      </w:r>
      <w:r>
        <w:rPr>
          <w:rFonts w:ascii="仿宋_GB2312" w:eastAsia="仿宋_GB2312" w:hAnsi="仿宋_GB2312" w:cs="仿宋_GB2312" w:hint="eastAsia"/>
          <w:color w:val="000000" w:themeColor="text1"/>
          <w:sz w:val="32"/>
          <w:szCs w:val="32"/>
        </w:rPr>
        <w:t>）等机构做大做强，实现跨省市连锁经营、规模发展。深入发展“互联网</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中医药”、“人工智能</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中医服务”，推广移动医疗、智慧医疗、智慧中药房等服务，健全基于互联网、大数据技术的分级诊疗和</w:t>
      </w:r>
      <w:proofErr w:type="gramStart"/>
      <w:r>
        <w:rPr>
          <w:rFonts w:ascii="仿宋_GB2312" w:eastAsia="仿宋_GB2312" w:hAnsi="仿宋_GB2312" w:cs="仿宋_GB2312" w:hint="eastAsia"/>
          <w:color w:val="000000" w:themeColor="text1"/>
          <w:sz w:val="32"/>
          <w:szCs w:val="32"/>
        </w:rPr>
        <w:t>医保</w:t>
      </w:r>
      <w:proofErr w:type="gramEnd"/>
      <w:r>
        <w:rPr>
          <w:rFonts w:ascii="仿宋_GB2312" w:eastAsia="仿宋_GB2312" w:hAnsi="仿宋_GB2312" w:cs="仿宋_GB2312" w:hint="eastAsia"/>
          <w:color w:val="000000" w:themeColor="text1"/>
          <w:sz w:val="32"/>
          <w:szCs w:val="32"/>
        </w:rPr>
        <w:t>管理信息系统，改善患者就医体验。</w:t>
      </w:r>
      <w:r>
        <w:rPr>
          <w:rFonts w:ascii="仿宋_GB2312" w:eastAsia="仿宋_GB2312" w:hAnsi="仿宋_GB2312" w:cs="仿宋_GB2312" w:hint="eastAsia"/>
          <w:color w:val="000000" w:themeColor="text1"/>
          <w:sz w:val="32"/>
          <w:szCs w:val="32"/>
        </w:rPr>
        <w:lastRenderedPageBreak/>
        <w:t>进一步加强健康信息基础设施建设，逐步逐级完成医院电子病历系统升级改造，不断提高应用水平。依托信息系统，建立联通上、下级医疗机构的双向转诊通道。深化中医药管理体制改革。按照国家和省、市的部署，深化</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保支付方式改革，健全符合中医药特点的</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保支付方式，完善具有开平特色的以按病种分值付费为主的多元复合式</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保支付体系。对同病同效的中医治疗病例给予西医治疗病例相同的支付标准。强化财政对中医的保障，建立持续稳定的中医药发展多元投入机制，在卫生健康投入中统筹安排中医药事业发展经费并加大支持力度。</w:t>
      </w:r>
    </w:p>
    <w:p w:rsidR="00D70FB0" w:rsidRDefault="00EE7950">
      <w:pPr>
        <w:pStyle w:val="3"/>
        <w:adjustRightInd w:val="0"/>
        <w:snapToGrid w:val="0"/>
        <w:spacing w:before="0" w:after="0" w:line="600" w:lineRule="exact"/>
        <w:ind w:firstLineChars="200" w:firstLine="643"/>
        <w:jc w:val="left"/>
        <w:rPr>
          <w:rFonts w:ascii="楷体" w:eastAsia="楷体" w:hAnsi="楷体" w:cs="黑体"/>
          <w:szCs w:val="22"/>
        </w:rPr>
      </w:pPr>
      <w:bookmarkStart w:id="584" w:name="_Toc60758125"/>
      <w:bookmarkStart w:id="585" w:name="_Toc84804975"/>
      <w:r>
        <w:rPr>
          <w:rFonts w:ascii="楷体" w:eastAsia="楷体" w:hAnsi="楷体" w:cs="黑体" w:hint="eastAsia"/>
          <w:szCs w:val="22"/>
        </w:rPr>
        <w:t>2</w:t>
      </w:r>
      <w:r>
        <w:rPr>
          <w:rFonts w:ascii="楷体" w:eastAsia="楷体" w:hAnsi="楷体" w:cs="黑体"/>
          <w:szCs w:val="22"/>
        </w:rPr>
        <w:t>.</w:t>
      </w:r>
      <w:r>
        <w:rPr>
          <w:rFonts w:ascii="楷体" w:eastAsia="楷体" w:hAnsi="楷体" w:cs="黑体" w:hint="eastAsia"/>
          <w:szCs w:val="22"/>
        </w:rPr>
        <w:t>促进中医药传承创新发展</w:t>
      </w:r>
      <w:bookmarkEnd w:id="584"/>
      <w:bookmarkEnd w:id="585"/>
    </w:p>
    <w:p w:rsidR="00D70FB0" w:rsidRDefault="00EE7950">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深化龙头医药企业产</w:t>
      </w:r>
      <w:proofErr w:type="gramStart"/>
      <w:r>
        <w:rPr>
          <w:rFonts w:ascii="仿宋_GB2312" w:eastAsia="仿宋_GB2312" w:hAnsi="仿宋_GB2312" w:cs="仿宋_GB2312" w:hint="eastAsia"/>
          <w:color w:val="000000" w:themeColor="text1"/>
          <w:sz w:val="32"/>
          <w:szCs w:val="32"/>
        </w:rPr>
        <w:t>研</w:t>
      </w:r>
      <w:proofErr w:type="gramEnd"/>
      <w:r>
        <w:rPr>
          <w:rFonts w:ascii="仿宋_GB2312" w:eastAsia="仿宋_GB2312" w:hAnsi="仿宋_GB2312" w:cs="仿宋_GB2312" w:hint="eastAsia"/>
          <w:color w:val="000000" w:themeColor="text1"/>
          <w:sz w:val="32"/>
          <w:szCs w:val="32"/>
        </w:rPr>
        <w:t>销优势，扶持本地医药龙头企业发展。积极推进高水平研发创新平台和能够共享的科技企业孵化器等公共服务（研发）平台建设。鼓励企业加强</w:t>
      </w:r>
      <w:r>
        <w:rPr>
          <w:rFonts w:ascii="仿宋_GB2312" w:eastAsia="仿宋_GB2312" w:hAnsi="仿宋_GB2312" w:cs="仿宋_GB2312" w:hint="eastAsia"/>
          <w:color w:val="000000" w:themeColor="text1"/>
          <w:sz w:val="32"/>
          <w:szCs w:val="32"/>
        </w:rPr>
        <w:t>与区域高校合作，增强</w:t>
      </w:r>
      <w:r>
        <w:rPr>
          <w:rFonts w:ascii="仿宋_GB2312" w:eastAsia="仿宋_GB2312" w:hAnsi="仿宋_GB2312" w:cs="仿宋_GB2312" w:hint="eastAsia"/>
          <w:color w:val="000000" w:themeColor="text1"/>
          <w:sz w:val="32"/>
          <w:szCs w:val="32"/>
        </w:rPr>
        <w:t>研发力量，加大研发投入，开展原创性研究，开发创新性产品，提高企业的核心竞争力。主动融入</w:t>
      </w:r>
      <w:r>
        <w:rPr>
          <w:rFonts w:ascii="仿宋_GB2312" w:eastAsia="仿宋_GB2312" w:hint="eastAsia"/>
          <w:sz w:val="32"/>
          <w:szCs w:val="32"/>
        </w:rPr>
        <w:t>粤港澳</w:t>
      </w:r>
      <w:r>
        <w:rPr>
          <w:rFonts w:ascii="仿宋_GB2312" w:eastAsia="仿宋_GB2312" w:hAnsi="仿宋_GB2312" w:cs="仿宋_GB2312" w:hint="eastAsia"/>
          <w:color w:val="000000" w:themeColor="text1"/>
          <w:sz w:val="32"/>
          <w:szCs w:val="32"/>
        </w:rPr>
        <w:t>大湾区建设</w:t>
      </w:r>
      <w:r>
        <w:rPr>
          <w:rFonts w:ascii="仿宋_GB2312" w:eastAsia="仿宋_GB2312" w:hAnsi="仿宋_GB2312" w:cs="仿宋_GB2312" w:hint="eastAsia"/>
          <w:color w:val="000000" w:themeColor="text1"/>
          <w:sz w:val="32"/>
          <w:szCs w:val="32"/>
        </w:rPr>
        <w:t>的“主战场”</w:t>
      </w:r>
      <w:r>
        <w:rPr>
          <w:rFonts w:ascii="仿宋_GB2312" w:eastAsia="仿宋_GB2312" w:hAnsi="仿宋_GB2312" w:cs="仿宋_GB2312" w:hint="eastAsia"/>
          <w:color w:val="000000" w:themeColor="text1"/>
          <w:sz w:val="32"/>
          <w:szCs w:val="32"/>
        </w:rPr>
        <w:t>，把握“双区驱动”机遇</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粤港澳大湾区</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先行示范区</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，把招引药业企业和药业项目作为重点</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紧扣</w:t>
      </w:r>
      <w:r>
        <w:rPr>
          <w:rFonts w:ascii="仿宋_GB2312" w:eastAsia="仿宋_GB2312" w:hAnsi="仿宋_GB2312" w:cs="仿宋_GB2312" w:hint="eastAsia"/>
          <w:color w:val="000000" w:themeColor="text1"/>
          <w:sz w:val="32"/>
          <w:szCs w:val="32"/>
        </w:rPr>
        <w:t>产业</w:t>
      </w:r>
      <w:r>
        <w:rPr>
          <w:rFonts w:ascii="仿宋_GB2312" w:eastAsia="仿宋_GB2312" w:hAnsi="仿宋_GB2312" w:cs="仿宋_GB2312" w:hint="eastAsia"/>
          <w:color w:val="000000" w:themeColor="text1"/>
          <w:sz w:val="32"/>
          <w:szCs w:val="32"/>
        </w:rPr>
        <w:t>发展需求，开展精准招商，完善和补强现代中医药、保健食品、生物医药信息技术等大健康产业链。依托自然资源优势，加强灵芝</w:t>
      </w:r>
      <w:r>
        <w:rPr>
          <w:rFonts w:ascii="仿宋_GB2312" w:eastAsia="仿宋_GB2312" w:hAnsi="仿宋_GB2312" w:cs="仿宋_GB2312" w:hint="eastAsia"/>
          <w:color w:val="000000" w:themeColor="text1"/>
          <w:sz w:val="32"/>
          <w:szCs w:val="32"/>
        </w:rPr>
        <w:t>、簕菜、</w:t>
      </w:r>
      <w:proofErr w:type="gramStart"/>
      <w:r>
        <w:rPr>
          <w:rFonts w:ascii="仿宋_GB2312" w:eastAsia="仿宋_GB2312" w:hAnsi="仿宋_GB2312" w:cs="仿宋_GB2312" w:hint="eastAsia"/>
          <w:color w:val="000000" w:themeColor="text1"/>
          <w:sz w:val="32"/>
          <w:szCs w:val="32"/>
        </w:rPr>
        <w:t>辣木</w:t>
      </w:r>
      <w:r>
        <w:rPr>
          <w:rFonts w:ascii="仿宋_GB2312" w:eastAsia="仿宋_GB2312" w:hAnsi="仿宋_GB2312" w:cs="仿宋_GB2312" w:hint="eastAsia"/>
          <w:color w:val="000000" w:themeColor="text1"/>
          <w:sz w:val="32"/>
          <w:szCs w:val="32"/>
        </w:rPr>
        <w:t>等</w:t>
      </w:r>
      <w:proofErr w:type="gramEnd"/>
      <w:r>
        <w:rPr>
          <w:rFonts w:ascii="仿宋_GB2312" w:eastAsia="仿宋_GB2312" w:hAnsi="仿宋_GB2312" w:cs="仿宋_GB2312" w:hint="eastAsia"/>
          <w:color w:val="000000" w:themeColor="text1"/>
          <w:sz w:val="32"/>
          <w:szCs w:val="32"/>
        </w:rPr>
        <w:t>开平</w:t>
      </w:r>
      <w:r>
        <w:rPr>
          <w:rFonts w:ascii="仿宋_GB2312" w:eastAsia="仿宋_GB2312" w:hAnsi="仿宋_GB2312" w:cs="仿宋_GB2312" w:hint="eastAsia"/>
          <w:color w:val="000000" w:themeColor="text1"/>
          <w:sz w:val="32"/>
          <w:szCs w:val="32"/>
        </w:rPr>
        <w:t>特色产品研究开发，推进中医药与保健品融合发展，支持开发保健酒、中药饮料、药膳、养生方便食品等，不断延长</w:t>
      </w:r>
      <w:r>
        <w:rPr>
          <w:rFonts w:ascii="仿宋_GB2312" w:eastAsia="仿宋_GB2312" w:hAnsi="仿宋_GB2312" w:cs="仿宋_GB2312" w:hint="eastAsia"/>
          <w:color w:val="000000" w:themeColor="text1"/>
          <w:sz w:val="32"/>
          <w:szCs w:val="32"/>
        </w:rPr>
        <w:t>大健康</w:t>
      </w:r>
      <w:r>
        <w:rPr>
          <w:rFonts w:ascii="仿宋_GB2312" w:eastAsia="仿宋_GB2312" w:hAnsi="仿宋_GB2312" w:cs="仿宋_GB2312" w:hint="eastAsia"/>
          <w:color w:val="000000" w:themeColor="text1"/>
          <w:sz w:val="32"/>
          <w:szCs w:val="32"/>
        </w:rPr>
        <w:t>产业链条。</w:t>
      </w:r>
    </w:p>
    <w:p w:rsidR="00D70FB0" w:rsidRDefault="00EE7950">
      <w:pPr>
        <w:pStyle w:val="3"/>
        <w:adjustRightInd w:val="0"/>
        <w:snapToGrid w:val="0"/>
        <w:spacing w:before="0" w:after="0" w:line="600" w:lineRule="exact"/>
        <w:ind w:firstLineChars="200" w:firstLine="643"/>
        <w:jc w:val="left"/>
        <w:rPr>
          <w:rFonts w:ascii="方正小标宋简体" w:eastAsia="方正小标宋简体" w:cs="Times New Roman"/>
          <w:color w:val="000000" w:themeColor="text1"/>
        </w:rPr>
      </w:pPr>
      <w:bookmarkStart w:id="586" w:name="_Toc60758126"/>
      <w:bookmarkStart w:id="587" w:name="_Toc84804976"/>
      <w:r>
        <w:rPr>
          <w:rFonts w:ascii="楷体" w:eastAsia="楷体" w:hAnsi="楷体" w:cs="黑体" w:hint="eastAsia"/>
          <w:szCs w:val="22"/>
        </w:rPr>
        <w:lastRenderedPageBreak/>
        <w:t>3</w:t>
      </w:r>
      <w:r>
        <w:rPr>
          <w:rFonts w:ascii="楷体" w:eastAsia="楷体" w:hAnsi="楷体" w:cs="黑体"/>
          <w:szCs w:val="22"/>
        </w:rPr>
        <w:t>.</w:t>
      </w:r>
      <w:r>
        <w:rPr>
          <w:rFonts w:ascii="楷体" w:eastAsia="楷体" w:hAnsi="楷体" w:cs="黑体" w:hint="eastAsia"/>
          <w:szCs w:val="22"/>
        </w:rPr>
        <w:t>提升基层中医药服务能力</w:t>
      </w:r>
      <w:bookmarkEnd w:id="586"/>
      <w:bookmarkEnd w:id="587"/>
    </w:p>
    <w:p w:rsidR="00D70FB0" w:rsidRDefault="00EE7950">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筑牢基层中医药服务阵地。</w:t>
      </w:r>
      <w:r>
        <w:rPr>
          <w:rFonts w:ascii="仿宋_GB2312" w:eastAsia="仿宋_GB2312" w:hAnsi="仿宋_GB2312" w:cs="仿宋_GB2312" w:hint="eastAsia"/>
          <w:sz w:val="32"/>
          <w:szCs w:val="32"/>
        </w:rPr>
        <w:t>扩大定向培养中医专业医学生规模，鼓励实行中医药人员“县管乡用”，鼓励退休中医医师到基层提供服务。健全全科医生和乡村</w:t>
      </w:r>
      <w:r>
        <w:rPr>
          <w:rFonts w:ascii="仿宋_GB2312" w:eastAsia="仿宋_GB2312" w:hAnsi="仿宋_GB2312" w:cs="仿宋_GB2312" w:hint="eastAsia"/>
          <w:sz w:val="32"/>
          <w:szCs w:val="32"/>
        </w:rPr>
        <w:t>医生中医药知识与技能培训机制。加强对基层中医药服务的指导，落实帮扶基层医院中医科“十个一”措施（科主任到一次基层、讲一次小课、查一次房、一次带教、一次专家门诊、一次疑难病例的会诊、推广一项中医适宜技术、一次手术演示、一次临床科研指导和一次死亡病例讨论），把帮扶基层工作落到实处、做到深处，全面提升我市基层中医药服务水平。利用侨乡优势，加强中医药文化海外传播。持续实施定向培养、师承和确有专长考核，落实定向培养中医人才，着力培养</w:t>
      </w:r>
      <w:proofErr w:type="gramStart"/>
      <w:r>
        <w:rPr>
          <w:rFonts w:ascii="仿宋_GB2312" w:eastAsia="仿宋_GB2312" w:hAnsi="仿宋_GB2312" w:cs="仿宋_GB2312" w:hint="eastAsia"/>
          <w:sz w:val="32"/>
          <w:szCs w:val="32"/>
        </w:rPr>
        <w:t>德技双</w:t>
      </w:r>
      <w:proofErr w:type="gramEnd"/>
      <w:r>
        <w:rPr>
          <w:rFonts w:ascii="仿宋_GB2312" w:eastAsia="仿宋_GB2312" w:hAnsi="仿宋_GB2312" w:cs="仿宋_GB2312" w:hint="eastAsia"/>
          <w:sz w:val="32"/>
          <w:szCs w:val="32"/>
        </w:rPr>
        <w:t>馨的</w:t>
      </w:r>
      <w:r>
        <w:rPr>
          <w:rFonts w:ascii="仿宋_GB2312" w:eastAsia="仿宋_GB2312" w:hAnsi="仿宋_GB2312" w:cs="仿宋_GB2312" w:hint="eastAsia"/>
          <w:sz w:val="32"/>
          <w:szCs w:val="32"/>
        </w:rPr>
        <w:t>中医药</w:t>
      </w:r>
      <w:r>
        <w:rPr>
          <w:rFonts w:ascii="仿宋_GB2312" w:eastAsia="仿宋_GB2312" w:hAnsi="仿宋_GB2312" w:cs="仿宋_GB2312" w:hint="eastAsia"/>
          <w:sz w:val="32"/>
          <w:szCs w:val="32"/>
        </w:rPr>
        <w:t>技术技能型</w:t>
      </w:r>
      <w:r>
        <w:rPr>
          <w:rFonts w:ascii="仿宋_GB2312" w:eastAsia="仿宋_GB2312" w:hAnsi="仿宋_GB2312" w:cs="仿宋_GB2312" w:hint="eastAsia"/>
          <w:sz w:val="32"/>
          <w:szCs w:val="32"/>
        </w:rPr>
        <w:t>人才。</w:t>
      </w:r>
    </w:p>
    <w:p w:rsidR="00D70FB0" w:rsidRDefault="00EE7950">
      <w:pPr>
        <w:spacing w:line="560" w:lineRule="exact"/>
        <w:ind w:firstLineChars="200" w:firstLine="643"/>
        <w:jc w:val="left"/>
        <w:rPr>
          <w:rFonts w:ascii="仿宋_GB2312" w:eastAsia="仿宋_GB2312" w:hAnsi="仿宋_GB2312" w:cs="仿宋_GB2312"/>
          <w:sz w:val="32"/>
          <w:szCs w:val="32"/>
        </w:rPr>
      </w:pPr>
      <w:proofErr w:type="gramStart"/>
      <w:r>
        <w:rPr>
          <w:rFonts w:ascii="仿宋_GB2312" w:eastAsia="仿宋_GB2312" w:hAnsi="仿宋_GB2312" w:cs="仿宋_GB2312" w:hint="eastAsia"/>
          <w:b/>
          <w:bCs/>
          <w:sz w:val="32"/>
          <w:szCs w:val="32"/>
        </w:rPr>
        <w:t>做优做</w:t>
      </w:r>
      <w:proofErr w:type="gramEnd"/>
      <w:r>
        <w:rPr>
          <w:rFonts w:ascii="仿宋_GB2312" w:eastAsia="仿宋_GB2312" w:hAnsi="仿宋_GB2312" w:cs="仿宋_GB2312" w:hint="eastAsia"/>
          <w:b/>
          <w:bCs/>
          <w:sz w:val="32"/>
          <w:szCs w:val="32"/>
        </w:rPr>
        <w:t>强中医优势专科。</w:t>
      </w:r>
      <w:r>
        <w:rPr>
          <w:rFonts w:ascii="仿宋_GB2312" w:eastAsia="仿宋_GB2312" w:hAnsi="仿宋_GB2312" w:cs="仿宋_GB2312" w:hint="eastAsia"/>
          <w:sz w:val="32"/>
          <w:szCs w:val="32"/>
        </w:rPr>
        <w:t>打造中医“名医”“名科”“名院”，强化开平市中医院骨</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科、肛肠科、康复科的特色专科建设。每个专科要形成一个重点病种，一个研究方向，一套诊疗方案，一支诊疗团队，一张协定处方，一种本院制剂，一项中医技术，促进高水平中医专科发展。通过促进学科良性竞争，形成优胜劣汰机制，加快学科临床疗效提升。关注本地区及周边地区居民疾病</w:t>
      </w:r>
      <w:proofErr w:type="gramStart"/>
      <w:r>
        <w:rPr>
          <w:rFonts w:ascii="仿宋_GB2312" w:eastAsia="仿宋_GB2312" w:hAnsi="仿宋_GB2312" w:cs="仿宋_GB2312" w:hint="eastAsia"/>
          <w:sz w:val="32"/>
          <w:szCs w:val="32"/>
        </w:rPr>
        <w:t>谱发展</w:t>
      </w:r>
      <w:proofErr w:type="gramEnd"/>
      <w:r>
        <w:rPr>
          <w:rFonts w:ascii="仿宋_GB2312" w:eastAsia="仿宋_GB2312" w:hAnsi="仿宋_GB2312" w:cs="仿宋_GB2312" w:hint="eastAsia"/>
          <w:sz w:val="32"/>
          <w:szCs w:val="32"/>
        </w:rPr>
        <w:t>态势，聚焦优势亚专科，集中力量在几个优势病种上突破，力求把每个病种、每个病例都做成“精品”。</w:t>
      </w:r>
    </w:p>
    <w:p w:rsidR="00D70FB0" w:rsidRDefault="00EE7950">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推进中医治未病工程实施。</w:t>
      </w:r>
      <w:r>
        <w:rPr>
          <w:rFonts w:ascii="仿宋_GB2312" w:eastAsia="仿宋_GB2312" w:hAnsi="仿宋_GB2312" w:cs="仿宋_GB2312" w:hint="eastAsia"/>
          <w:sz w:val="32"/>
          <w:szCs w:val="32"/>
        </w:rPr>
        <w:t>充分发挥中医药防病治病的独特优势和作用，推进“治未病”健康工程，优化推广我</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lastRenderedPageBreak/>
        <w:t>中医“治未病”方案，将更多中医药“治未病”技术纳入家庭医生签约服务范畴。建设乡镇卫生院治未病标准化诊室，提升基层医疗机构治未病技术。大力普及中医养生保健知识和太极拳、健身气功（如八段锦）等养生保健方法，推广体现中医“治未病”理念的健康工作和生活方式。加强“治未病”业务人员的继续教育和师承培养，不断提质增量。建立有效机制，更好发挥中医药在流感等新发突发传染病防治和公共卫生事件应急处置中的作用，提升中医医院防治重大突发传染病能力，规范开平市中医院感染病科室建设，进一步规范和改善中医医院发热门诊的设置。鼓励社会</w:t>
      </w:r>
      <w:r>
        <w:rPr>
          <w:rFonts w:ascii="仿宋_GB2312" w:eastAsia="仿宋_GB2312" w:hAnsi="仿宋_GB2312" w:cs="仿宋_GB2312" w:hint="eastAsia"/>
          <w:sz w:val="32"/>
          <w:szCs w:val="32"/>
        </w:rPr>
        <w:t>力量举办中医养生保健机构，加快养生保健服务健康发展。拓展中医医院服务领域，为群众提供中医健康咨询评估、干预调理、随访管理等治未病服务，让中医药在“治未病”中的主导作用、在重大疾病治疗中的协同作用、在疾病康复中的核心作用得到充分发挥。</w:t>
      </w:r>
    </w:p>
    <w:p w:rsidR="00D70FB0" w:rsidRDefault="00EE7950">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加快中医药康复和养老服务能力建设。</w:t>
      </w:r>
      <w:r>
        <w:rPr>
          <w:rFonts w:ascii="仿宋_GB2312" w:eastAsia="仿宋_GB2312" w:hAnsi="仿宋_GB2312" w:cs="仿宋_GB2312" w:hint="eastAsia"/>
          <w:sz w:val="32"/>
          <w:szCs w:val="32"/>
        </w:rPr>
        <w:t>支持乡镇卫生院、社区卫生服务中心建设中医康复室，支持社会办中医，加快中医药健康养老服务能力建设。充分发挥中医药的预防保健特色优势，将中医药康复医疗、养生保健、“治未病”的理念融入健康养老全过程，加强中医药适宜技术和服务产品推广，健全中医药健康养</w:t>
      </w:r>
      <w:r>
        <w:rPr>
          <w:rFonts w:ascii="仿宋_GB2312" w:eastAsia="仿宋_GB2312" w:hAnsi="仿宋_GB2312" w:cs="仿宋_GB2312" w:hint="eastAsia"/>
          <w:sz w:val="32"/>
          <w:szCs w:val="32"/>
        </w:rPr>
        <w:t>老人才培养，做好中医药健康养老工作。</w:t>
      </w:r>
    </w:p>
    <w:p w:rsidR="00D70FB0" w:rsidRDefault="00EE7950">
      <w:pPr>
        <w:pStyle w:val="2"/>
        <w:adjustRightInd w:val="0"/>
        <w:snapToGrid w:val="0"/>
        <w:spacing w:before="0" w:after="0" w:line="560" w:lineRule="exact"/>
        <w:ind w:firstLineChars="200" w:firstLine="643"/>
        <w:rPr>
          <w:rFonts w:eastAsia="楷体" w:cs="黑体"/>
          <w:szCs w:val="22"/>
        </w:rPr>
      </w:pPr>
      <w:bookmarkStart w:id="588" w:name="_Toc60758127"/>
      <w:bookmarkStart w:id="589" w:name="_Toc84804977"/>
      <w:r>
        <w:rPr>
          <w:rFonts w:eastAsia="楷体" w:cs="黑体" w:hint="eastAsia"/>
          <w:szCs w:val="22"/>
        </w:rPr>
        <w:lastRenderedPageBreak/>
        <w:t>（七）大力发展健康产业</w:t>
      </w:r>
      <w:bookmarkEnd w:id="588"/>
      <w:bookmarkEnd w:id="589"/>
    </w:p>
    <w:p w:rsidR="00D70FB0" w:rsidRDefault="00EE7950">
      <w:pPr>
        <w:pStyle w:val="2"/>
        <w:adjustRightInd w:val="0"/>
        <w:snapToGrid w:val="0"/>
        <w:spacing w:before="0" w:after="0" w:line="560" w:lineRule="exact"/>
        <w:ind w:firstLineChars="200" w:firstLine="643"/>
        <w:rPr>
          <w:rFonts w:eastAsia="楷体" w:cs="黑体"/>
          <w:szCs w:val="22"/>
        </w:rPr>
      </w:pPr>
      <w:bookmarkStart w:id="590" w:name="_Toc84804978"/>
      <w:bookmarkStart w:id="591" w:name="_Toc60758128"/>
      <w:r>
        <w:rPr>
          <w:rFonts w:eastAsia="楷体" w:cs="黑体" w:hint="eastAsia"/>
          <w:szCs w:val="22"/>
        </w:rPr>
        <w:t>1</w:t>
      </w:r>
      <w:r>
        <w:rPr>
          <w:rFonts w:eastAsia="楷体" w:cs="黑体"/>
          <w:szCs w:val="22"/>
        </w:rPr>
        <w:t>.</w:t>
      </w:r>
      <w:r>
        <w:rPr>
          <w:rFonts w:eastAsia="楷体" w:cs="黑体" w:hint="eastAsia"/>
          <w:szCs w:val="22"/>
        </w:rPr>
        <w:t>大力发展社会办医</w:t>
      </w:r>
      <w:bookmarkEnd w:id="590"/>
    </w:p>
    <w:bookmarkEnd w:id="591"/>
    <w:p w:rsidR="00D70FB0" w:rsidRDefault="00EE7950">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加大政府支持力度，鼓励社会力量举办非营利性医疗机构，推动社会办医向高水平、多元化方向发展。推进医师多点执业，鼓励在职医师、退休医师到基层设立个体诊所或在基层医疗机构执业。社会办医疗机构设置不受规划布局限制。加大非公立医疗品牌扶持力度，推动非公立医疗机构向高水平、规模化方向发展，鼓励发展专业性医院管理集团。充分发挥“侨乡”特色和粤港澳大湾区的优势，鼓励海外华侨及港澳同胞投资医疗卫生事业，设立中医类专科医院、康复医院、护理院（站</w:t>
      </w:r>
      <w:r>
        <w:rPr>
          <w:rFonts w:ascii="仿宋_GB2312" w:eastAsia="仿宋_GB2312" w:hAnsi="仿宋_GB2312" w:cs="仿宋_GB2312" w:hint="eastAsia"/>
          <w:color w:val="000000" w:themeColor="text1"/>
          <w:sz w:val="32"/>
          <w:szCs w:val="32"/>
        </w:rPr>
        <w:t>）以及口腔疾病、老年病和慢性病等非公立医疗机构，打造一批具有竞争力的品牌服务机构，满足群众多层次、多元化健康服务需求。鼓励和支持有实力的中医诊所和门诊部（中医馆、国医堂）等机构做大做强，实现跨省市连锁经营、规模发展。深化与港澳在医疗领域的合作，促进粤港澳大湾区卫生与健康事业协同发展、优势互补、共建共享，鼓励举办面向港澳消费者的社会办中医医疗机构。</w:t>
      </w:r>
    </w:p>
    <w:p w:rsidR="00D70FB0" w:rsidRDefault="00EE7950">
      <w:pPr>
        <w:pStyle w:val="3"/>
        <w:adjustRightInd w:val="0"/>
        <w:snapToGrid w:val="0"/>
        <w:spacing w:before="0" w:after="0" w:line="600" w:lineRule="exact"/>
        <w:ind w:firstLineChars="200" w:firstLine="643"/>
        <w:jc w:val="left"/>
        <w:rPr>
          <w:rFonts w:eastAsia="楷体" w:cs="黑体"/>
          <w:szCs w:val="22"/>
        </w:rPr>
      </w:pPr>
      <w:bookmarkStart w:id="592" w:name="_Toc84804979"/>
      <w:r>
        <w:rPr>
          <w:rFonts w:eastAsia="楷体" w:cs="黑体" w:hint="eastAsia"/>
          <w:szCs w:val="22"/>
        </w:rPr>
        <w:t>2</w:t>
      </w:r>
      <w:r>
        <w:rPr>
          <w:rFonts w:eastAsia="楷体" w:cs="黑体"/>
          <w:szCs w:val="22"/>
        </w:rPr>
        <w:t>.</w:t>
      </w:r>
      <w:r>
        <w:rPr>
          <w:rFonts w:eastAsia="楷体" w:cs="黑体" w:hint="eastAsia"/>
          <w:szCs w:val="22"/>
        </w:rPr>
        <w:t>深入推进</w:t>
      </w:r>
      <w:proofErr w:type="gramStart"/>
      <w:r>
        <w:rPr>
          <w:rFonts w:eastAsia="楷体" w:cs="黑体" w:hint="eastAsia"/>
          <w:szCs w:val="22"/>
        </w:rPr>
        <w:t>医</w:t>
      </w:r>
      <w:proofErr w:type="gramEnd"/>
      <w:r>
        <w:rPr>
          <w:rFonts w:eastAsia="楷体" w:cs="黑体" w:hint="eastAsia"/>
          <w:szCs w:val="22"/>
        </w:rPr>
        <w:t>养融合发展</w:t>
      </w:r>
      <w:bookmarkEnd w:id="592"/>
    </w:p>
    <w:p w:rsidR="00D70FB0" w:rsidRDefault="00EE7950">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以满足老年人健康养老需求为目标，基本健全居家社区机构相协调、</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康护养相结合的健康养老服务体系。增加</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养结合服务供给，合理规划、建设和改造</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养结合机构，鼓励社会力量举办</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养结合机构，将</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养结合机构内设的符合条件的医疗机构纳入基本医疗保险定点范围。促进医疗资源与养老资源深度融合，推动医疗卫生机构开展健康养老服务，</w:t>
      </w:r>
      <w:r>
        <w:rPr>
          <w:rFonts w:ascii="仿宋_GB2312" w:eastAsia="仿宋_GB2312" w:hAnsi="Times New Roman" w:cs="Times New Roman" w:hint="eastAsia"/>
          <w:sz w:val="32"/>
          <w:szCs w:val="32"/>
        </w:rPr>
        <w:lastRenderedPageBreak/>
        <w:t>鼓励养老机构与周边的医疗卫生机构开展多种形式的签约合作。推进社区居家健康养老服务，实施社区（乡镇）</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养结合能力提升工程。探索在</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养结合机构加强“社区护理”、“认知障碍照护”和“安宁疗护”等服务。加强</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w:t>
      </w:r>
      <w:r>
        <w:rPr>
          <w:rFonts w:ascii="仿宋_GB2312" w:eastAsia="仿宋_GB2312" w:hAnsi="Times New Roman" w:cs="Times New Roman" w:hint="eastAsia"/>
          <w:sz w:val="32"/>
          <w:szCs w:val="32"/>
        </w:rPr>
        <w:t>结合信息化支撑，增加智慧健康养老产品供给。发挥中医药健康养老服务作用。积极对接港澳健康养老服务产业。实施</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养结合机构服务质量提升工程，开展</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养结合示范县</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市、区）和示范机构创建活动，实现全市养老机构</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养</w:t>
      </w:r>
      <w:proofErr w:type="gramStart"/>
      <w:r>
        <w:rPr>
          <w:rFonts w:ascii="仿宋_GB2312" w:eastAsia="仿宋_GB2312" w:hAnsi="Times New Roman" w:cs="Times New Roman" w:hint="eastAsia"/>
          <w:sz w:val="32"/>
          <w:szCs w:val="32"/>
        </w:rPr>
        <w:t>结合全</w:t>
      </w:r>
      <w:proofErr w:type="gramEnd"/>
      <w:r>
        <w:rPr>
          <w:rFonts w:ascii="仿宋_GB2312" w:eastAsia="仿宋_GB2312" w:hAnsi="Times New Roman" w:cs="Times New Roman" w:hint="eastAsia"/>
          <w:sz w:val="32"/>
          <w:szCs w:val="32"/>
        </w:rPr>
        <w:t>覆盖。</w:t>
      </w:r>
    </w:p>
    <w:p w:rsidR="00D70FB0" w:rsidRDefault="00EE7950">
      <w:pPr>
        <w:pStyle w:val="3"/>
        <w:adjustRightInd w:val="0"/>
        <w:snapToGrid w:val="0"/>
        <w:spacing w:before="0" w:after="0" w:line="600" w:lineRule="exact"/>
        <w:ind w:firstLineChars="200" w:firstLine="643"/>
        <w:jc w:val="left"/>
        <w:rPr>
          <w:rFonts w:eastAsia="楷体" w:cs="黑体"/>
          <w:szCs w:val="22"/>
        </w:rPr>
      </w:pPr>
      <w:bookmarkStart w:id="593" w:name="_Toc60758130"/>
      <w:bookmarkStart w:id="594" w:name="_Toc84804980"/>
      <w:r>
        <w:rPr>
          <w:rFonts w:eastAsia="楷体" w:cs="黑体" w:hint="eastAsia"/>
          <w:szCs w:val="22"/>
        </w:rPr>
        <w:t>3</w:t>
      </w:r>
      <w:r>
        <w:rPr>
          <w:rFonts w:eastAsia="楷体" w:cs="黑体"/>
          <w:szCs w:val="22"/>
        </w:rPr>
        <w:t>.</w:t>
      </w:r>
      <w:r>
        <w:rPr>
          <w:rFonts w:eastAsia="楷体" w:cs="黑体" w:hint="eastAsia"/>
          <w:szCs w:val="22"/>
        </w:rPr>
        <w:t>大力推进医药产业发展</w:t>
      </w:r>
      <w:bookmarkEnd w:id="593"/>
      <w:bookmarkEnd w:id="594"/>
    </w:p>
    <w:p w:rsidR="00D70FB0" w:rsidRDefault="00EE7950">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健全医药技术创新支持体系，加强医药成果转化推广平台建设，加强知识产权运用和保护，推动医药创新和创新升级，形成具有核心竞争力的自主知识产权。加强原</w:t>
      </w:r>
      <w:proofErr w:type="gramStart"/>
      <w:r>
        <w:rPr>
          <w:rFonts w:ascii="仿宋_GB2312" w:eastAsia="仿宋_GB2312" w:hAnsi="仿宋_GB2312" w:cs="仿宋_GB2312" w:hint="eastAsia"/>
          <w:color w:val="000000" w:themeColor="text1"/>
          <w:sz w:val="32"/>
          <w:szCs w:val="32"/>
        </w:rPr>
        <w:t>研</w:t>
      </w:r>
      <w:proofErr w:type="gramEnd"/>
      <w:r>
        <w:rPr>
          <w:rFonts w:ascii="仿宋_GB2312" w:eastAsia="仿宋_GB2312" w:hAnsi="仿宋_GB2312" w:cs="仿宋_GB2312" w:hint="eastAsia"/>
          <w:color w:val="000000" w:themeColor="text1"/>
          <w:sz w:val="32"/>
          <w:szCs w:val="32"/>
        </w:rPr>
        <w:t>药、</w:t>
      </w:r>
      <w:proofErr w:type="gramStart"/>
      <w:r>
        <w:rPr>
          <w:rFonts w:ascii="仿宋_GB2312" w:eastAsia="仿宋_GB2312" w:hAnsi="仿宋_GB2312" w:cs="仿宋_GB2312" w:hint="eastAsia"/>
          <w:color w:val="000000" w:themeColor="text1"/>
          <w:sz w:val="32"/>
          <w:szCs w:val="32"/>
        </w:rPr>
        <w:t>首仿药</w:t>
      </w:r>
      <w:proofErr w:type="gramEnd"/>
      <w:r>
        <w:rPr>
          <w:rFonts w:ascii="仿宋_GB2312" w:eastAsia="仿宋_GB2312" w:hAnsi="仿宋_GB2312" w:cs="仿宋_GB2312" w:hint="eastAsia"/>
          <w:color w:val="000000" w:themeColor="text1"/>
          <w:sz w:val="32"/>
          <w:szCs w:val="32"/>
        </w:rPr>
        <w:t>、中药、新型制剂、高端医疗器械等创新能力建设。提升化学</w:t>
      </w:r>
      <w:proofErr w:type="gramStart"/>
      <w:r>
        <w:rPr>
          <w:rFonts w:ascii="仿宋_GB2312" w:eastAsia="仿宋_GB2312" w:hAnsi="仿宋_GB2312" w:cs="仿宋_GB2312" w:hint="eastAsia"/>
          <w:color w:val="000000" w:themeColor="text1"/>
          <w:sz w:val="32"/>
          <w:szCs w:val="32"/>
        </w:rPr>
        <w:t>药产业</w:t>
      </w:r>
      <w:proofErr w:type="gramEnd"/>
      <w:r>
        <w:rPr>
          <w:rFonts w:ascii="仿宋_GB2312" w:eastAsia="仿宋_GB2312" w:hAnsi="仿宋_GB2312" w:cs="仿宋_GB2312" w:hint="eastAsia"/>
          <w:color w:val="000000" w:themeColor="text1"/>
          <w:sz w:val="32"/>
          <w:szCs w:val="32"/>
        </w:rPr>
        <w:t>优势，推动针对重大疾病的现代中成药、新型化学药和生物技术药物新产品的研制。积极发展针对重大疾病的化学药原药和制剂、中药饮片和中成药以及生物生化制品，推动治疗重大疾病的专利到期药物仿制上市。探索以社会力量为主，加快开平灵芝、金山火蒜、东山蜂蜜、金鸡番</w:t>
      </w:r>
      <w:proofErr w:type="gramStart"/>
      <w:r>
        <w:rPr>
          <w:rFonts w:ascii="仿宋_GB2312" w:eastAsia="仿宋_GB2312" w:hAnsi="仿宋_GB2312" w:cs="仿宋_GB2312" w:hint="eastAsia"/>
          <w:color w:val="000000" w:themeColor="text1"/>
          <w:sz w:val="32"/>
          <w:szCs w:val="32"/>
        </w:rPr>
        <w:t>葛</w:t>
      </w:r>
      <w:proofErr w:type="gramEnd"/>
      <w:r>
        <w:rPr>
          <w:rFonts w:ascii="仿宋_GB2312" w:eastAsia="仿宋_GB2312" w:hAnsi="仿宋_GB2312" w:cs="仿宋_GB2312" w:hint="eastAsia"/>
          <w:color w:val="000000" w:themeColor="text1"/>
          <w:sz w:val="32"/>
          <w:szCs w:val="32"/>
        </w:rPr>
        <w:t>等具有本地特色的健康产品的研发和产业化，打造集</w:t>
      </w:r>
      <w:r>
        <w:rPr>
          <w:rFonts w:ascii="仿宋_GB2312" w:eastAsia="仿宋_GB2312" w:hAnsi="仿宋_GB2312" w:cs="仿宋_GB2312" w:hint="eastAsia"/>
          <w:color w:val="000000" w:themeColor="text1"/>
          <w:sz w:val="32"/>
          <w:szCs w:val="32"/>
        </w:rPr>
        <w:t>养生保健、药膳食疗于一体的中医养生服务集聚区。加强政府监督、行业自律与社会监督，促进各类医疗机构严格自律、诚信服务、规范发展。</w:t>
      </w:r>
    </w:p>
    <w:p w:rsidR="00D70FB0" w:rsidRDefault="00EE7950">
      <w:pPr>
        <w:pStyle w:val="3"/>
        <w:adjustRightInd w:val="0"/>
        <w:snapToGrid w:val="0"/>
        <w:spacing w:before="0" w:after="0" w:line="600" w:lineRule="exact"/>
        <w:ind w:firstLineChars="200" w:firstLine="643"/>
        <w:jc w:val="left"/>
        <w:rPr>
          <w:rFonts w:eastAsia="楷体" w:cs="黑体"/>
          <w:szCs w:val="22"/>
        </w:rPr>
      </w:pPr>
      <w:bookmarkStart w:id="595" w:name="_Toc60758131"/>
      <w:bookmarkStart w:id="596" w:name="_Toc84804981"/>
      <w:r>
        <w:rPr>
          <w:rFonts w:eastAsia="楷体" w:cs="黑体"/>
          <w:szCs w:val="22"/>
        </w:rPr>
        <w:t>4.</w:t>
      </w:r>
      <w:bookmarkEnd w:id="595"/>
      <w:r>
        <w:rPr>
          <w:rFonts w:eastAsia="楷体" w:cs="黑体" w:hint="eastAsia"/>
          <w:szCs w:val="22"/>
        </w:rPr>
        <w:t>积极发展多元化健康服务</w:t>
      </w:r>
      <w:bookmarkEnd w:id="596"/>
    </w:p>
    <w:p w:rsidR="00D70FB0" w:rsidRDefault="00EE7950">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发挥市场机制作用，扩大健康服务供给，创新服务模式。</w:t>
      </w:r>
      <w:r>
        <w:rPr>
          <w:rFonts w:ascii="仿宋_GB2312" w:eastAsia="仿宋_GB2312" w:hAnsi="仿宋_GB2312" w:cs="仿宋_GB2312" w:hint="eastAsia"/>
          <w:color w:val="000000" w:themeColor="text1"/>
          <w:sz w:val="32"/>
          <w:szCs w:val="32"/>
        </w:rPr>
        <w:lastRenderedPageBreak/>
        <w:t>鼓励引进国内外健康服务机构，打造地方健康服务业品牌，大力发展体检、心理咨询、母婴照料、健康咨询、家庭医生等健康服务形式，提供人性化的健康服务。培育壮大健康服务支撑产业，积极支持自主知识产权药品、医疗器械、健康信息化服务产品和其他相关健康产品的研发和应用。</w:t>
      </w:r>
    </w:p>
    <w:p w:rsidR="00D70FB0" w:rsidRDefault="00EE7950">
      <w:pPr>
        <w:pStyle w:val="2"/>
        <w:adjustRightInd w:val="0"/>
        <w:snapToGrid w:val="0"/>
        <w:spacing w:before="0" w:after="0" w:line="560" w:lineRule="exact"/>
        <w:ind w:firstLineChars="200" w:firstLine="643"/>
        <w:rPr>
          <w:rFonts w:eastAsia="楷体" w:cs="黑体"/>
          <w:szCs w:val="22"/>
        </w:rPr>
      </w:pPr>
      <w:bookmarkStart w:id="597" w:name="_Toc18178"/>
      <w:bookmarkStart w:id="598" w:name="_Toc22576"/>
      <w:bookmarkStart w:id="599" w:name="_Toc19903"/>
      <w:bookmarkStart w:id="600" w:name="_Toc10063"/>
      <w:bookmarkStart w:id="601" w:name="_Toc65153943"/>
      <w:bookmarkStart w:id="602" w:name="_Toc28800"/>
      <w:bookmarkStart w:id="603" w:name="_Toc32215"/>
      <w:bookmarkStart w:id="604" w:name="_Toc12074"/>
      <w:bookmarkStart w:id="605" w:name="_Toc8157"/>
      <w:bookmarkStart w:id="606" w:name="_Toc17185"/>
      <w:bookmarkStart w:id="607" w:name="_Toc15142"/>
      <w:bookmarkStart w:id="608" w:name="_Toc13992"/>
      <w:bookmarkStart w:id="609" w:name="_Toc20363"/>
      <w:bookmarkStart w:id="610" w:name="_Toc1626"/>
      <w:bookmarkStart w:id="611" w:name="_Toc29228"/>
      <w:bookmarkStart w:id="612" w:name="_Toc11493"/>
      <w:bookmarkStart w:id="613" w:name="_Toc32167"/>
      <w:bookmarkStart w:id="614" w:name="_Toc84804982"/>
      <w:r>
        <w:rPr>
          <w:rFonts w:eastAsia="楷体" w:cs="黑体" w:hint="eastAsia"/>
          <w:szCs w:val="22"/>
        </w:rPr>
        <w:t>（八）完善健康优先发展保障</w:t>
      </w:r>
      <w:bookmarkEnd w:id="597"/>
      <w:r>
        <w:rPr>
          <w:rFonts w:eastAsia="楷体" w:cs="黑体" w:hint="eastAsia"/>
          <w:szCs w:val="22"/>
        </w:rPr>
        <w:t>体系</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D70FB0" w:rsidRDefault="00EE7950">
      <w:pPr>
        <w:pStyle w:val="2"/>
        <w:adjustRightInd w:val="0"/>
        <w:snapToGrid w:val="0"/>
        <w:spacing w:before="0" w:after="0" w:line="560" w:lineRule="exact"/>
        <w:ind w:firstLineChars="200" w:firstLine="643"/>
        <w:rPr>
          <w:rFonts w:eastAsia="楷体" w:cs="黑体"/>
          <w:szCs w:val="22"/>
        </w:rPr>
      </w:pPr>
      <w:bookmarkStart w:id="615" w:name="_Toc65153944"/>
      <w:bookmarkStart w:id="616" w:name="_Toc21154"/>
      <w:bookmarkStart w:id="617" w:name="_Toc45"/>
      <w:bookmarkStart w:id="618" w:name="_Toc9112"/>
      <w:bookmarkStart w:id="619" w:name="_Toc10642"/>
      <w:bookmarkStart w:id="620" w:name="_Toc2915"/>
      <w:bookmarkStart w:id="621" w:name="_Toc32445"/>
      <w:bookmarkStart w:id="622" w:name="_Toc19927"/>
      <w:bookmarkStart w:id="623" w:name="_Toc11366"/>
      <w:bookmarkStart w:id="624" w:name="_Toc7447"/>
      <w:bookmarkStart w:id="625" w:name="_Toc18140"/>
      <w:bookmarkStart w:id="626" w:name="_Toc31911"/>
      <w:bookmarkStart w:id="627" w:name="_Toc84804983"/>
      <w:r>
        <w:rPr>
          <w:rFonts w:eastAsia="楷体" w:cs="黑体"/>
          <w:szCs w:val="22"/>
        </w:rPr>
        <w:t>1.</w:t>
      </w:r>
      <w:r>
        <w:rPr>
          <w:rFonts w:eastAsia="楷体" w:cs="黑体" w:hint="eastAsia"/>
          <w:szCs w:val="22"/>
        </w:rPr>
        <w:t>加强人才队伍建</w:t>
      </w:r>
      <w:r>
        <w:rPr>
          <w:rFonts w:eastAsia="楷体" w:cs="黑体" w:hint="eastAsia"/>
          <w:szCs w:val="22"/>
        </w:rPr>
        <w:t>设</w:t>
      </w:r>
      <w:bookmarkEnd w:id="615"/>
      <w:bookmarkEnd w:id="616"/>
      <w:bookmarkEnd w:id="617"/>
      <w:bookmarkEnd w:id="618"/>
      <w:bookmarkEnd w:id="619"/>
      <w:bookmarkEnd w:id="620"/>
      <w:bookmarkEnd w:id="621"/>
      <w:bookmarkEnd w:id="622"/>
      <w:bookmarkEnd w:id="623"/>
      <w:bookmarkEnd w:id="624"/>
      <w:bookmarkEnd w:id="625"/>
      <w:bookmarkEnd w:id="626"/>
      <w:bookmarkEnd w:id="627"/>
    </w:p>
    <w:p w:rsidR="00D70FB0" w:rsidRDefault="00EE795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以“强基层、建高地、登高峰”为目标，坚持增加卫生人才数量和提高质量并重，千方百计引才育才留才。一</w:t>
      </w:r>
      <w:proofErr w:type="gramStart"/>
      <w:r>
        <w:rPr>
          <w:rFonts w:ascii="仿宋_GB2312" w:eastAsia="仿宋_GB2312" w:hAnsi="仿宋_GB2312" w:cs="仿宋_GB2312" w:hint="eastAsia"/>
          <w:sz w:val="32"/>
          <w:szCs w:val="32"/>
        </w:rPr>
        <w:t>是靶向</w:t>
      </w:r>
      <w:proofErr w:type="gramEnd"/>
      <w:r>
        <w:rPr>
          <w:rFonts w:ascii="仿宋_GB2312" w:eastAsia="仿宋_GB2312" w:hAnsi="仿宋_GB2312" w:cs="仿宋_GB2312" w:hint="eastAsia"/>
          <w:sz w:val="32"/>
          <w:szCs w:val="32"/>
        </w:rPr>
        <w:t>引才。坚持精准引才、分类施策理念，聚焦高精尖缺人才，围绕专科建设，全职引进与柔性引进并举，聚焦实用型人才。二是整体育才。培育一批省、市医学领军人才、杰出青年医学人才以及省市级名医、名中医。积极扩大医学生定向培养规模，加强基层医疗卫生机构儿科人才队伍建设，定向培养基层医学人才。推进基层医疗卫生队伍建设。制订优惠政策，为农村订单定向免费培养医学生。三是聚</w:t>
      </w:r>
      <w:proofErr w:type="gramStart"/>
      <w:r>
        <w:rPr>
          <w:rFonts w:ascii="仿宋_GB2312" w:eastAsia="仿宋_GB2312" w:hAnsi="仿宋_GB2312" w:cs="仿宋_GB2312" w:hint="eastAsia"/>
          <w:sz w:val="32"/>
          <w:szCs w:val="32"/>
        </w:rPr>
        <w:t>力留才</w:t>
      </w:r>
      <w:proofErr w:type="gramEnd"/>
      <w:r>
        <w:rPr>
          <w:rFonts w:ascii="仿宋_GB2312" w:eastAsia="仿宋_GB2312" w:hAnsi="仿宋_GB2312" w:cs="仿宋_GB2312" w:hint="eastAsia"/>
          <w:sz w:val="32"/>
          <w:szCs w:val="32"/>
        </w:rPr>
        <w:t>。深化医师薪酬制度改革和基层卫生机构职称人事薪酬</w:t>
      </w:r>
      <w:r>
        <w:rPr>
          <w:rFonts w:ascii="仿宋_GB2312" w:eastAsia="仿宋_GB2312" w:hAnsi="仿宋_GB2312" w:cs="仿宋_GB2312" w:hint="eastAsia"/>
          <w:sz w:val="32"/>
          <w:szCs w:val="32"/>
        </w:rPr>
        <w:t>制度改革，激发卫生人才干事创业的积极性，增强医疗卫生机构对人才的吸引力。搭建人才平台。注重人才发展与平台建设有机融合。加快医学教育创新发展，推动</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教协同。</w:t>
      </w:r>
      <w:r>
        <w:rPr>
          <w:rFonts w:ascii="仿宋_GB2312" w:eastAsia="仿宋_GB2312" w:hAnsi="仿宋_GB2312" w:cs="仿宋_GB2312" w:hint="eastAsia"/>
          <w:bCs/>
          <w:sz w:val="32"/>
          <w:szCs w:val="32"/>
        </w:rPr>
        <w:t>引进和培养一批高层次卫生健康人才。</w:t>
      </w:r>
      <w:r>
        <w:rPr>
          <w:rFonts w:ascii="仿宋_GB2312" w:eastAsia="仿宋_GB2312" w:hAnsi="仿宋_GB2312" w:cs="仿宋_GB2312" w:hint="eastAsia"/>
          <w:sz w:val="32"/>
          <w:szCs w:val="32"/>
        </w:rPr>
        <w:t>健全住院医师和公共卫生医师规范化培训制度。</w:t>
      </w:r>
      <w:r>
        <w:rPr>
          <w:rFonts w:ascii="仿宋_GB2312" w:eastAsia="仿宋_GB2312" w:hAnsi="仿宋_GB2312" w:cs="仿宋_GB2312" w:hint="eastAsia"/>
          <w:bCs/>
          <w:sz w:val="32"/>
          <w:szCs w:val="32"/>
        </w:rPr>
        <w:t>实施人才能力提升工程，加强公共卫生、中医、全科、儿科、重症、产科、精神科、康复、护理、心理健康、托幼、老龄健康等急需紧缺人才培养培训，</w:t>
      </w:r>
      <w:proofErr w:type="gramStart"/>
      <w:r>
        <w:rPr>
          <w:rFonts w:ascii="仿宋_GB2312" w:eastAsia="仿宋_GB2312" w:hAnsi="仿宋_GB2312" w:cs="仿宋_GB2312" w:hint="eastAsia"/>
          <w:bCs/>
          <w:sz w:val="32"/>
          <w:szCs w:val="32"/>
        </w:rPr>
        <w:t>构建全</w:t>
      </w:r>
      <w:proofErr w:type="gramEnd"/>
      <w:r>
        <w:rPr>
          <w:rFonts w:ascii="仿宋_GB2312" w:eastAsia="仿宋_GB2312" w:hAnsi="仿宋_GB2312" w:cs="仿宋_GB2312" w:hint="eastAsia"/>
          <w:bCs/>
          <w:sz w:val="32"/>
          <w:szCs w:val="32"/>
        </w:rPr>
        <w:t>生命全周</w:t>
      </w:r>
      <w:r>
        <w:rPr>
          <w:rFonts w:ascii="仿宋_GB2312" w:eastAsia="仿宋_GB2312" w:hAnsi="仿宋_GB2312" w:cs="仿宋_GB2312" w:hint="eastAsia"/>
          <w:bCs/>
          <w:sz w:val="32"/>
          <w:szCs w:val="32"/>
        </w:rPr>
        <w:lastRenderedPageBreak/>
        <w:t>期卫生健康人才支撑体系。强化流行病学调查、实验室检验检测、卫生监督执法人才培养，建设区域流行病学调查人才培养基地。</w:t>
      </w:r>
      <w:r>
        <w:rPr>
          <w:rFonts w:ascii="仿宋_GB2312" w:eastAsia="仿宋_GB2312" w:hAnsi="仿宋_GB2312" w:cs="仿宋_GB2312" w:hint="eastAsia"/>
          <w:sz w:val="32"/>
          <w:szCs w:val="32"/>
        </w:rPr>
        <w:t>加大全科医生培训和订</w:t>
      </w:r>
      <w:r>
        <w:rPr>
          <w:rFonts w:ascii="仿宋_GB2312" w:eastAsia="仿宋_GB2312" w:hAnsi="仿宋_GB2312" w:cs="仿宋_GB2312" w:hint="eastAsia"/>
          <w:sz w:val="32"/>
          <w:szCs w:val="32"/>
        </w:rPr>
        <w:t>单定向免费医学生培养力度，加大高层次、复合型卫生健康宣传教育人才培养力度。加强基层医疗卫生人才队伍建设。</w:t>
      </w:r>
      <w:r>
        <w:rPr>
          <w:rFonts w:ascii="仿宋_GB2312" w:eastAsia="仿宋_GB2312" w:hAnsi="仿宋_GB2312" w:cs="仿宋_GB2312" w:hint="eastAsia"/>
          <w:bCs/>
          <w:sz w:val="32"/>
          <w:szCs w:val="32"/>
        </w:rPr>
        <w:t>推进县域内人员“统招统管统用”，实施基层人才专项招聘，提高基层人才待遇。设置基层紧缺专业特设岗位，</w:t>
      </w:r>
      <w:r>
        <w:rPr>
          <w:rFonts w:ascii="仿宋_GB2312" w:eastAsia="仿宋_GB2312" w:hAnsi="仿宋_GB2312" w:cs="仿宋_GB2312" w:hint="eastAsia"/>
          <w:sz w:val="32"/>
          <w:szCs w:val="32"/>
        </w:rPr>
        <w:t>健全执业医师服务基层制度</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统筹各类</w:t>
      </w:r>
      <w:r>
        <w:rPr>
          <w:rFonts w:ascii="仿宋_GB2312" w:eastAsia="仿宋_GB2312" w:hAnsi="仿宋_GB2312" w:cs="仿宋_GB2312" w:hint="eastAsia"/>
          <w:bCs/>
          <w:sz w:val="32"/>
          <w:szCs w:val="32"/>
        </w:rPr>
        <w:t>卫生健康人才帮扶基层项目。</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年，每万常住人口全科医生数达到</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w:t>
      </w:r>
    </w:p>
    <w:p w:rsidR="00D70FB0" w:rsidRDefault="00EE7950">
      <w:pPr>
        <w:pStyle w:val="3"/>
        <w:adjustRightInd w:val="0"/>
        <w:snapToGrid w:val="0"/>
        <w:spacing w:before="0" w:after="0" w:line="600" w:lineRule="exact"/>
        <w:ind w:firstLineChars="200" w:firstLine="643"/>
        <w:jc w:val="left"/>
        <w:rPr>
          <w:rFonts w:eastAsia="楷体" w:cs="黑体"/>
          <w:szCs w:val="22"/>
        </w:rPr>
      </w:pPr>
      <w:bookmarkStart w:id="628" w:name="_Toc4379"/>
      <w:bookmarkStart w:id="629" w:name="_Toc505"/>
      <w:bookmarkStart w:id="630" w:name="_Toc3580"/>
      <w:bookmarkStart w:id="631" w:name="_Toc15065"/>
      <w:bookmarkStart w:id="632" w:name="_Toc65153945"/>
      <w:bookmarkStart w:id="633" w:name="_Toc3749"/>
      <w:bookmarkStart w:id="634" w:name="_Toc10440"/>
      <w:bookmarkStart w:id="635" w:name="_Toc10546"/>
      <w:bookmarkStart w:id="636" w:name="_Toc2938"/>
      <w:bookmarkStart w:id="637" w:name="_Toc2000"/>
      <w:bookmarkStart w:id="638" w:name="_Toc31056"/>
      <w:bookmarkStart w:id="639" w:name="_Toc11523"/>
      <w:bookmarkStart w:id="640" w:name="_Toc84804984"/>
      <w:r>
        <w:rPr>
          <w:rFonts w:eastAsia="楷体" w:cs="黑体"/>
          <w:szCs w:val="22"/>
        </w:rPr>
        <w:t>2.</w:t>
      </w:r>
      <w:r>
        <w:rPr>
          <w:rFonts w:eastAsia="楷体" w:cs="黑体" w:hint="eastAsia"/>
          <w:szCs w:val="22"/>
        </w:rPr>
        <w:t>提升科技创新和生物安全能力</w:t>
      </w:r>
      <w:bookmarkEnd w:id="628"/>
      <w:bookmarkEnd w:id="629"/>
      <w:bookmarkEnd w:id="630"/>
      <w:bookmarkEnd w:id="631"/>
      <w:bookmarkEnd w:id="632"/>
      <w:bookmarkEnd w:id="633"/>
      <w:bookmarkEnd w:id="634"/>
      <w:bookmarkEnd w:id="635"/>
      <w:bookmarkEnd w:id="636"/>
      <w:bookmarkEnd w:id="637"/>
      <w:bookmarkEnd w:id="638"/>
      <w:bookmarkEnd w:id="639"/>
      <w:bookmarkEnd w:id="640"/>
    </w:p>
    <w:p w:rsidR="00D70FB0" w:rsidRDefault="00EE795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加强临床医学科研能力建设，建立健全卫生健康科技创新体系</w:t>
      </w:r>
      <w:r>
        <w:rPr>
          <w:rFonts w:ascii="仿宋_GB2312" w:eastAsia="仿宋_GB2312" w:hAnsi="仿宋_GB2312" w:cs="仿宋_GB2312" w:hint="eastAsia"/>
          <w:sz w:val="32"/>
          <w:szCs w:val="32"/>
        </w:rPr>
        <w:t>和生物安全能力</w:t>
      </w:r>
      <w:r>
        <w:rPr>
          <w:rFonts w:ascii="仿宋_GB2312" w:eastAsia="仿宋_GB2312" w:hint="eastAsia"/>
          <w:sz w:val="32"/>
          <w:szCs w:val="32"/>
        </w:rPr>
        <w:t>建设，突出医疗卫生机构创新资源聚集平台的作用，探索重大技术创新，加强临床数据的规范化和信息化工作。加强</w:t>
      </w:r>
      <w:r>
        <w:rPr>
          <w:rFonts w:ascii="仿宋_GB2312" w:eastAsia="仿宋_GB2312" w:hint="eastAsia"/>
          <w:sz w:val="32"/>
          <w:szCs w:val="32"/>
        </w:rPr>
        <w:t>技术创新和适宜技术的转化推广，</w:t>
      </w:r>
      <w:r>
        <w:rPr>
          <w:rFonts w:ascii="仿宋_GB2312" w:eastAsia="仿宋_GB2312" w:hAnsi="仿宋_GB2312" w:cs="仿宋_GB2312" w:hint="eastAsia"/>
          <w:sz w:val="32"/>
          <w:szCs w:val="32"/>
        </w:rPr>
        <w:t>强化卫生健康伦理建设，加强知识产权创造、运用和保护。支持设立国际注册认证服务机构。通过定向招商积极引进国外大健康领域龙头企业在我市新设运营总部、研发中心、子公司、分公司。依托医药园区推动医药企业“走出去”，打造南药品牌，推动医药产业转型升级。完善生物安全保障体系，建立健全生物安全工作协调机制。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年，我市生物安全风险防控和治理能力明显提升。</w:t>
      </w:r>
    </w:p>
    <w:p w:rsidR="00D70FB0" w:rsidRDefault="00EE7950">
      <w:pPr>
        <w:pStyle w:val="3"/>
        <w:adjustRightInd w:val="0"/>
        <w:snapToGrid w:val="0"/>
        <w:spacing w:before="0" w:after="0" w:line="600" w:lineRule="exact"/>
        <w:ind w:firstLineChars="200" w:firstLine="643"/>
        <w:jc w:val="left"/>
        <w:rPr>
          <w:rFonts w:eastAsia="楷体" w:cs="黑体"/>
          <w:szCs w:val="22"/>
        </w:rPr>
      </w:pPr>
      <w:bookmarkStart w:id="641" w:name="_Toc6006"/>
      <w:bookmarkStart w:id="642" w:name="_Toc29492"/>
      <w:bookmarkStart w:id="643" w:name="_Toc65153946"/>
      <w:bookmarkStart w:id="644" w:name="_Toc12297"/>
      <w:bookmarkStart w:id="645" w:name="_Toc32338"/>
      <w:bookmarkStart w:id="646" w:name="_Toc23659"/>
      <w:bookmarkStart w:id="647" w:name="_Toc31650"/>
      <w:bookmarkStart w:id="648" w:name="_Toc4423"/>
      <w:bookmarkStart w:id="649" w:name="_Toc9339"/>
      <w:bookmarkStart w:id="650" w:name="_Toc12785"/>
      <w:bookmarkStart w:id="651" w:name="_Toc8255"/>
      <w:bookmarkStart w:id="652" w:name="_Toc7855"/>
      <w:bookmarkStart w:id="653" w:name="_Toc84804985"/>
      <w:r>
        <w:rPr>
          <w:rFonts w:eastAsia="楷体" w:cs="黑体"/>
          <w:szCs w:val="22"/>
        </w:rPr>
        <w:t>3.</w:t>
      </w:r>
      <w:r>
        <w:rPr>
          <w:rFonts w:eastAsia="楷体" w:cs="黑体" w:hint="eastAsia"/>
          <w:szCs w:val="22"/>
        </w:rPr>
        <w:t>发展数字卫生健康</w:t>
      </w:r>
      <w:bookmarkEnd w:id="641"/>
      <w:bookmarkEnd w:id="642"/>
      <w:bookmarkEnd w:id="643"/>
      <w:bookmarkEnd w:id="644"/>
      <w:bookmarkEnd w:id="645"/>
      <w:bookmarkEnd w:id="646"/>
      <w:bookmarkEnd w:id="647"/>
      <w:bookmarkEnd w:id="648"/>
      <w:bookmarkEnd w:id="649"/>
      <w:bookmarkEnd w:id="650"/>
      <w:bookmarkEnd w:id="651"/>
      <w:bookmarkEnd w:id="652"/>
      <w:bookmarkEnd w:id="653"/>
    </w:p>
    <w:p w:rsidR="00D70FB0" w:rsidRDefault="00EE795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依托江门市区域卫生信息平台互联互通标准化成熟度测评项目和卫生大数据分析平台，构建开平市“互联网</w:t>
      </w:r>
      <w:r>
        <w:rPr>
          <w:rFonts w:ascii="仿宋_GB2312" w:eastAsia="仿宋_GB2312" w:hint="eastAsia"/>
          <w:sz w:val="32"/>
          <w:szCs w:val="32"/>
        </w:rPr>
        <w:t>+</w:t>
      </w:r>
      <w:r>
        <w:rPr>
          <w:rFonts w:ascii="仿宋_GB2312" w:eastAsia="仿宋_GB2312" w:hint="eastAsia"/>
          <w:sz w:val="32"/>
          <w:szCs w:val="32"/>
        </w:rPr>
        <w:t>医</w:t>
      </w:r>
      <w:r>
        <w:rPr>
          <w:rFonts w:ascii="仿宋_GB2312" w:eastAsia="仿宋_GB2312" w:hint="eastAsia"/>
          <w:sz w:val="32"/>
          <w:szCs w:val="32"/>
        </w:rPr>
        <w:lastRenderedPageBreak/>
        <w:t>疗健康”服务</w:t>
      </w:r>
      <w:r>
        <w:rPr>
          <w:rFonts w:ascii="仿宋_GB2312" w:eastAsia="仿宋_GB2312" w:hint="eastAsia"/>
          <w:sz w:val="32"/>
          <w:szCs w:val="32"/>
        </w:rPr>
        <w:t>新模式，建设网络化、远程化、全方位的开平市人工智能辅助诊断影像数据云中心。推进新兴信息技术与医疗卫生的融合创新应用，提升信息化在医疗、疾病监测、防控救治、综合监管、资源调配等方面的支撑能力。在二级以上医院普遍开展以数据为核心的智慧医院建设，发展智慧服务、智慧临床、智慧管理，带动基层医疗卫生机构提升数字化水平。</w:t>
      </w:r>
      <w:proofErr w:type="gramStart"/>
      <w:r>
        <w:rPr>
          <w:rFonts w:ascii="仿宋_GB2312" w:eastAsia="仿宋_GB2312" w:hint="eastAsia"/>
          <w:sz w:val="32"/>
          <w:szCs w:val="32"/>
        </w:rPr>
        <w:t>全领域全</w:t>
      </w:r>
      <w:proofErr w:type="gramEnd"/>
      <w:r>
        <w:rPr>
          <w:rFonts w:ascii="仿宋_GB2312" w:eastAsia="仿宋_GB2312" w:hint="eastAsia"/>
          <w:sz w:val="32"/>
          <w:szCs w:val="32"/>
        </w:rPr>
        <w:t>流程改造公共卫生服务，加强智能化早期预警能力建设，提高公共卫生服务数字化、智能化水平。创新协同机制，推进医疗、预防与健康管理流程交互、业务协同、信息共享，塑造一体化、数字化健康医疗服务模式。</w:t>
      </w:r>
    </w:p>
    <w:p w:rsidR="00D70FB0" w:rsidRDefault="00EE7950">
      <w:pPr>
        <w:pStyle w:val="3"/>
        <w:adjustRightInd w:val="0"/>
        <w:snapToGrid w:val="0"/>
        <w:spacing w:before="0" w:after="0" w:line="600" w:lineRule="exact"/>
        <w:ind w:firstLineChars="200" w:firstLine="643"/>
        <w:jc w:val="left"/>
        <w:rPr>
          <w:rFonts w:ascii="楷体" w:eastAsia="楷体" w:hAnsi="楷体" w:cs="黑体"/>
          <w:szCs w:val="22"/>
        </w:rPr>
      </w:pPr>
      <w:bookmarkStart w:id="654" w:name="_Toc17302"/>
      <w:bookmarkStart w:id="655" w:name="_Toc16888"/>
      <w:bookmarkStart w:id="656" w:name="_Toc19208"/>
      <w:bookmarkStart w:id="657" w:name="_Toc4142"/>
      <w:bookmarkStart w:id="658" w:name="_Toc8767"/>
      <w:bookmarkStart w:id="659" w:name="_Toc16646"/>
      <w:bookmarkStart w:id="660" w:name="_Toc9915"/>
      <w:bookmarkStart w:id="661" w:name="_Toc1162"/>
      <w:bookmarkStart w:id="662" w:name="_Toc19862"/>
      <w:bookmarkStart w:id="663" w:name="_Toc12426"/>
      <w:bookmarkStart w:id="664" w:name="_Toc65153947"/>
      <w:bookmarkStart w:id="665" w:name="_Toc7469"/>
      <w:bookmarkStart w:id="666" w:name="_Toc84804986"/>
      <w:r>
        <w:rPr>
          <w:rFonts w:ascii="楷体" w:eastAsia="楷体" w:hAnsi="楷体" w:cs="黑体"/>
          <w:szCs w:val="22"/>
        </w:rPr>
        <w:t>4</w:t>
      </w:r>
      <w:r>
        <w:rPr>
          <w:rFonts w:ascii="楷体" w:eastAsia="楷体" w:hAnsi="楷体" w:cs="黑体"/>
          <w:szCs w:val="22"/>
        </w:rPr>
        <w:t>.</w:t>
      </w:r>
      <w:r>
        <w:rPr>
          <w:rFonts w:ascii="楷体" w:eastAsia="楷体" w:hAnsi="楷体" w:cs="黑体" w:hint="eastAsia"/>
          <w:szCs w:val="22"/>
        </w:rPr>
        <w:t>推进对外交流合作</w:t>
      </w:r>
      <w:bookmarkEnd w:id="654"/>
      <w:bookmarkEnd w:id="655"/>
      <w:bookmarkEnd w:id="656"/>
      <w:bookmarkEnd w:id="657"/>
      <w:bookmarkEnd w:id="658"/>
      <w:bookmarkEnd w:id="659"/>
      <w:bookmarkEnd w:id="660"/>
      <w:bookmarkEnd w:id="661"/>
      <w:bookmarkEnd w:id="662"/>
      <w:bookmarkEnd w:id="663"/>
      <w:bookmarkEnd w:id="664"/>
      <w:bookmarkEnd w:id="665"/>
      <w:bookmarkEnd w:id="666"/>
    </w:p>
    <w:p w:rsidR="00D70FB0" w:rsidRDefault="00EE795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完善与粤港澳大湾区各城市的传染病联防联控机制创新和卫生健康协调发展。充分发挥开平市作为中国著名侨乡的优势，加强与港澳的联系，支持港澳医疗机构参与我市</w:t>
      </w:r>
      <w:proofErr w:type="gramStart"/>
      <w:r>
        <w:rPr>
          <w:rFonts w:ascii="仿宋_GB2312" w:eastAsia="仿宋_GB2312" w:hint="eastAsia"/>
          <w:sz w:val="32"/>
          <w:szCs w:val="32"/>
        </w:rPr>
        <w:t>医</w:t>
      </w:r>
      <w:proofErr w:type="gramEnd"/>
      <w:r>
        <w:rPr>
          <w:rFonts w:ascii="仿宋_GB2312" w:eastAsia="仿宋_GB2312" w:hint="eastAsia"/>
          <w:sz w:val="32"/>
          <w:szCs w:val="32"/>
        </w:rPr>
        <w:t>联体建设，鼓励以特色专科为纽带组建专科联盟和远程医疗协作网，融合先进管理理念和诊疗技术，探索建立新型互联网诊疗、教学、培训一体化模式，推动以教学、住院医师规范化培训、科研协作为主要手段，促进资源共享。支持港澳医师、护士、药剂师以及其他港澳医疗专业技术人员按规定在我市内短期执业。鼓励和支持港澳服务提供者在我市设立养老服务机构。积极引进港澳专业医学人才、先进医疗技</w:t>
      </w:r>
      <w:r>
        <w:rPr>
          <w:rFonts w:ascii="仿宋_GB2312" w:eastAsia="仿宋_GB2312" w:hint="eastAsia"/>
          <w:sz w:val="32"/>
          <w:szCs w:val="32"/>
        </w:rPr>
        <w:t>术、成熟管理经验和优秀经营模式。</w:t>
      </w:r>
      <w:bookmarkStart w:id="667" w:name="_Toc25139"/>
      <w:bookmarkStart w:id="668" w:name="_Toc12086"/>
      <w:bookmarkStart w:id="669" w:name="_Toc8574"/>
      <w:bookmarkStart w:id="670" w:name="_Toc29968"/>
      <w:bookmarkStart w:id="671" w:name="_Toc3866"/>
      <w:bookmarkStart w:id="672" w:name="_Toc7833"/>
      <w:bookmarkStart w:id="673" w:name="_Toc65153948"/>
      <w:bookmarkStart w:id="674" w:name="_Toc15047"/>
      <w:bookmarkStart w:id="675" w:name="_Toc4684"/>
      <w:bookmarkStart w:id="676" w:name="_Toc3539"/>
      <w:bookmarkStart w:id="677" w:name="_Toc3284"/>
      <w:bookmarkStart w:id="678" w:name="_Toc29380"/>
      <w:bookmarkStart w:id="679" w:name="_Toc11374"/>
      <w:bookmarkStart w:id="680" w:name="_Toc6102"/>
      <w:bookmarkStart w:id="681" w:name="_Toc9279"/>
      <w:bookmarkStart w:id="682" w:name="_Toc29008"/>
      <w:bookmarkStart w:id="683" w:name="_Toc520"/>
    </w:p>
    <w:p w:rsidR="00D70FB0" w:rsidRDefault="00EE7950">
      <w:pPr>
        <w:pStyle w:val="3"/>
        <w:adjustRightInd w:val="0"/>
        <w:snapToGrid w:val="0"/>
        <w:spacing w:before="0" w:after="0" w:line="600" w:lineRule="exact"/>
        <w:ind w:firstLineChars="200" w:firstLine="643"/>
        <w:jc w:val="left"/>
        <w:rPr>
          <w:rFonts w:ascii="楷体" w:eastAsia="楷体" w:hAnsi="楷体" w:cs="黑体"/>
          <w:b w:val="0"/>
          <w:szCs w:val="22"/>
        </w:rPr>
      </w:pPr>
      <w:bookmarkStart w:id="684" w:name="_Toc84804987"/>
      <w:r>
        <w:rPr>
          <w:rFonts w:ascii="楷体" w:eastAsia="楷体" w:hAnsi="楷体" w:cs="黑体" w:hint="eastAsia"/>
          <w:szCs w:val="22"/>
        </w:rPr>
        <w:t>5.</w:t>
      </w:r>
      <w:r>
        <w:rPr>
          <w:rFonts w:ascii="楷体" w:eastAsia="楷体" w:hAnsi="楷体" w:cs="黑体" w:hint="eastAsia"/>
          <w:szCs w:val="22"/>
        </w:rPr>
        <w:t>加强卫生健康法治建设</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D70FB0" w:rsidRDefault="00EE795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增强法治思维和能力，不断健全公共卫生、传染病防治</w:t>
      </w:r>
      <w:r>
        <w:rPr>
          <w:rFonts w:ascii="仿宋_GB2312" w:eastAsia="仿宋_GB2312" w:hint="eastAsia"/>
          <w:sz w:val="32"/>
          <w:szCs w:val="32"/>
        </w:rPr>
        <w:lastRenderedPageBreak/>
        <w:t>和卫生应急管理等方面的制度体系。加强规范性文件的合法性审查和公平竞争审查，定期开展评估清理，维护全市卫生健康法规制度的统一性、协调性。加强依法治理体系和依法治理能力建设，落实行政执法公示制度、执法全过程记录制度和重大执法决定法制审核制度。继续深化“放管服”改革和政府职能转变工作，依法推进政务公开。加强卫生普法宣传，增强全社会守法意识。</w:t>
      </w:r>
    </w:p>
    <w:p w:rsidR="00D70FB0" w:rsidRDefault="00EE7950">
      <w:pPr>
        <w:pStyle w:val="1"/>
        <w:spacing w:line="560" w:lineRule="exact"/>
        <w:ind w:leftChars="0" w:left="0" w:rightChars="0" w:right="0" w:firstLineChars="200" w:firstLine="643"/>
        <w:jc w:val="left"/>
        <w:rPr>
          <w:rFonts w:ascii="Calibri" w:eastAsia="黑体" w:hAnsi="Calibri" w:cs="黑体"/>
          <w:bCs w:val="0"/>
          <w:sz w:val="32"/>
          <w:szCs w:val="22"/>
        </w:rPr>
      </w:pPr>
      <w:bookmarkStart w:id="685" w:name="_Toc3000"/>
      <w:bookmarkStart w:id="686" w:name="_Toc546"/>
      <w:bookmarkStart w:id="687" w:name="_Toc14891"/>
      <w:bookmarkStart w:id="688" w:name="_Toc1613"/>
      <w:bookmarkStart w:id="689" w:name="_Toc84804988"/>
      <w:bookmarkStart w:id="690" w:name="_Toc65153949"/>
      <w:bookmarkStart w:id="691" w:name="_Toc20513"/>
      <w:bookmarkStart w:id="692" w:name="_Toc4463"/>
      <w:bookmarkStart w:id="693" w:name="_Toc8737"/>
      <w:bookmarkStart w:id="694" w:name="_Toc9698"/>
      <w:bookmarkStart w:id="695" w:name="_Toc13524"/>
      <w:bookmarkStart w:id="696" w:name="_Toc27034"/>
      <w:bookmarkStart w:id="697" w:name="_Toc1521"/>
      <w:bookmarkStart w:id="698" w:name="_Toc16576"/>
      <w:bookmarkStart w:id="699" w:name="_Toc23871"/>
      <w:bookmarkStart w:id="700" w:name="_Toc650"/>
      <w:bookmarkStart w:id="701" w:name="_Toc1411"/>
      <w:bookmarkStart w:id="702" w:name="_Toc22878"/>
      <w:r>
        <w:rPr>
          <w:rFonts w:ascii="Calibri" w:eastAsia="黑体" w:hAnsi="Calibri" w:cs="黑体" w:hint="eastAsia"/>
          <w:bCs w:val="0"/>
          <w:sz w:val="32"/>
          <w:szCs w:val="22"/>
        </w:rPr>
        <w:t>四、保障措施</w:t>
      </w:r>
      <w:bookmarkEnd w:id="685"/>
      <w:bookmarkEnd w:id="686"/>
      <w:bookmarkEnd w:id="687"/>
      <w:bookmarkEnd w:id="688"/>
      <w:bookmarkEnd w:id="689"/>
    </w:p>
    <w:p w:rsidR="00D70FB0" w:rsidRDefault="00EE7950">
      <w:pPr>
        <w:pStyle w:val="2"/>
        <w:adjustRightInd w:val="0"/>
        <w:snapToGrid w:val="0"/>
        <w:spacing w:before="0" w:after="0" w:line="560" w:lineRule="exact"/>
        <w:ind w:firstLineChars="200" w:firstLine="643"/>
        <w:rPr>
          <w:rFonts w:eastAsia="楷体" w:cs="黑体"/>
          <w:szCs w:val="22"/>
        </w:rPr>
      </w:pPr>
      <w:bookmarkStart w:id="703" w:name="_Toc65153950"/>
      <w:bookmarkStart w:id="704" w:name="_Toc11733"/>
      <w:bookmarkStart w:id="705" w:name="_Toc30079"/>
      <w:bookmarkStart w:id="706" w:name="_Toc18301"/>
      <w:bookmarkStart w:id="707" w:name="_Toc18284"/>
      <w:bookmarkStart w:id="708" w:name="_Toc4445"/>
      <w:bookmarkStart w:id="709" w:name="_Toc18885"/>
      <w:bookmarkStart w:id="710" w:name="_Toc32692"/>
      <w:bookmarkStart w:id="711" w:name="_Toc18772"/>
      <w:bookmarkStart w:id="712" w:name="_Toc3062"/>
      <w:bookmarkStart w:id="713" w:name="_Toc22492"/>
      <w:bookmarkStart w:id="714" w:name="_Toc20822"/>
      <w:bookmarkStart w:id="715" w:name="_Toc121"/>
      <w:bookmarkStart w:id="716" w:name="_Toc22588"/>
      <w:bookmarkStart w:id="717" w:name="_Toc14250"/>
      <w:bookmarkStart w:id="718" w:name="_Toc17301"/>
      <w:bookmarkStart w:id="719" w:name="_Toc17626"/>
      <w:bookmarkStart w:id="720" w:name="_Toc84804989"/>
      <w:bookmarkEnd w:id="690"/>
      <w:bookmarkEnd w:id="691"/>
      <w:bookmarkEnd w:id="692"/>
      <w:bookmarkEnd w:id="693"/>
      <w:bookmarkEnd w:id="694"/>
      <w:bookmarkEnd w:id="695"/>
      <w:bookmarkEnd w:id="696"/>
      <w:bookmarkEnd w:id="697"/>
      <w:bookmarkEnd w:id="698"/>
      <w:bookmarkEnd w:id="699"/>
      <w:bookmarkEnd w:id="700"/>
      <w:bookmarkEnd w:id="701"/>
      <w:bookmarkEnd w:id="702"/>
      <w:r>
        <w:rPr>
          <w:rFonts w:eastAsia="楷体" w:cs="黑体" w:hint="eastAsia"/>
          <w:szCs w:val="22"/>
        </w:rPr>
        <w:t>（一）加强组织领导</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D70FB0" w:rsidRDefault="00EE7950">
      <w:pPr>
        <w:spacing w:line="560" w:lineRule="exact"/>
        <w:ind w:firstLineChars="200" w:firstLine="640"/>
        <w:jc w:val="left"/>
        <w:rPr>
          <w:rFonts w:ascii="仿宋_GB2312" w:eastAsia="仿宋_GB2312"/>
          <w:sz w:val="32"/>
          <w:szCs w:val="32"/>
        </w:rPr>
      </w:pPr>
      <w:r>
        <w:rPr>
          <w:rFonts w:ascii="仿宋_GB2312" w:eastAsia="仿宋_GB2312" w:hAnsi="仿宋_GB2312" w:cs="仿宋_GB2312" w:hint="eastAsia"/>
          <w:sz w:val="32"/>
          <w:szCs w:val="32"/>
        </w:rPr>
        <w:t>充分认识卫生健康事业“十四五”规划对全市卫生健康事业长期发展的重要意义，</w:t>
      </w:r>
      <w:r>
        <w:rPr>
          <w:rFonts w:ascii="Calibri" w:eastAsia="仿宋_GB2312" w:hAnsi="Calibri" w:cs="黑体" w:hint="eastAsia"/>
          <w:sz w:val="32"/>
        </w:rPr>
        <w:t>各级党委和政府要把卫生健康事业发展作为重要工作任务，把党的领导贯彻到卫生健康事业发展全过程。</w:t>
      </w:r>
      <w:r>
        <w:rPr>
          <w:rFonts w:ascii="仿宋_GB2312" w:eastAsia="仿宋_GB2312" w:hint="eastAsia"/>
          <w:sz w:val="32"/>
          <w:szCs w:val="32"/>
        </w:rPr>
        <w:t>发挥党组织核心作用，落实各级政府主体责任。各地建立相应工作推进机制，细化分解指标、任务，确保本地区“十四五”卫生与</w:t>
      </w:r>
      <w:proofErr w:type="gramStart"/>
      <w:r>
        <w:rPr>
          <w:rFonts w:ascii="仿宋_GB2312" w:eastAsia="仿宋_GB2312" w:hint="eastAsia"/>
          <w:sz w:val="32"/>
          <w:szCs w:val="32"/>
        </w:rPr>
        <w:t>健康规划</w:t>
      </w:r>
      <w:proofErr w:type="gramEnd"/>
      <w:r>
        <w:rPr>
          <w:rFonts w:ascii="仿宋_GB2312" w:eastAsia="仿宋_GB2312" w:hint="eastAsia"/>
          <w:sz w:val="32"/>
          <w:szCs w:val="32"/>
        </w:rPr>
        <w:t>各项工作扎实推进。</w:t>
      </w:r>
    </w:p>
    <w:p w:rsidR="00D70FB0" w:rsidRDefault="00EE7950">
      <w:pPr>
        <w:pStyle w:val="2"/>
        <w:adjustRightInd w:val="0"/>
        <w:snapToGrid w:val="0"/>
        <w:spacing w:before="0" w:after="0" w:line="560" w:lineRule="exact"/>
        <w:ind w:firstLineChars="200" w:firstLine="643"/>
        <w:rPr>
          <w:rFonts w:eastAsia="楷体" w:cs="黑体"/>
          <w:szCs w:val="22"/>
        </w:rPr>
      </w:pPr>
      <w:bookmarkStart w:id="721" w:name="_Toc1654"/>
      <w:bookmarkStart w:id="722" w:name="_Toc6109"/>
      <w:bookmarkStart w:id="723" w:name="_Toc551"/>
      <w:bookmarkStart w:id="724" w:name="_Toc32064"/>
      <w:bookmarkStart w:id="725" w:name="_Toc27879"/>
      <w:bookmarkStart w:id="726" w:name="_Toc3601"/>
      <w:bookmarkStart w:id="727" w:name="_Toc65153951"/>
      <w:bookmarkStart w:id="728" w:name="_Toc1398"/>
      <w:bookmarkStart w:id="729" w:name="_Toc8335"/>
      <w:bookmarkStart w:id="730" w:name="_Toc6271"/>
      <w:bookmarkStart w:id="731" w:name="_Toc12737"/>
      <w:bookmarkStart w:id="732" w:name="_Toc9057"/>
      <w:bookmarkStart w:id="733" w:name="_Toc27148"/>
      <w:bookmarkStart w:id="734" w:name="_Toc24630"/>
      <w:bookmarkStart w:id="735" w:name="_Toc4466"/>
      <w:bookmarkStart w:id="736" w:name="_Toc27974"/>
      <w:bookmarkStart w:id="737" w:name="_Toc84804990"/>
      <w:r>
        <w:rPr>
          <w:rFonts w:eastAsia="楷体" w:cs="黑体" w:hint="eastAsia"/>
          <w:szCs w:val="22"/>
        </w:rPr>
        <w:t>（二）加大卫生投入力度</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rsidR="00D70FB0" w:rsidRDefault="00EE7950">
      <w:pPr>
        <w:spacing w:line="560" w:lineRule="exact"/>
        <w:ind w:firstLineChars="200" w:firstLine="640"/>
        <w:jc w:val="left"/>
        <w:rPr>
          <w:rFonts w:ascii="仿宋_GB2312" w:eastAsia="仿宋_GB2312"/>
          <w:sz w:val="32"/>
          <w:szCs w:val="32"/>
        </w:rPr>
      </w:pPr>
      <w:r>
        <w:rPr>
          <w:rFonts w:eastAsia="仿宋_GB2312" w:hint="eastAsia"/>
          <w:sz w:val="32"/>
          <w:szCs w:val="32"/>
        </w:rPr>
        <w:t>创新财政资金使用方式，充分发挥政府投资引导作用，优化政府投资安排方式，规范政府投资管理。</w:t>
      </w:r>
      <w:r>
        <w:rPr>
          <w:rFonts w:ascii="仿宋_GB2312" w:eastAsia="仿宋_GB2312" w:hint="eastAsia"/>
          <w:sz w:val="32"/>
          <w:szCs w:val="32"/>
        </w:rPr>
        <w:t>针对卫生健康发展的资源短板，强化政府对卫生健康的投入责任，引入增量、激活存量，以体系结构为主线</w:t>
      </w:r>
      <w:r>
        <w:rPr>
          <w:rFonts w:ascii="仿宋_GB2312" w:eastAsia="仿宋_GB2312" w:hint="eastAsia"/>
          <w:sz w:val="32"/>
          <w:szCs w:val="32"/>
        </w:rPr>
        <w:t>，合理配置卫生资源。鼓励和引导社会力量加大对卫生与健康的投入，形成投资主体多元化、投资方式多样化，推动卫生与健康加快发展。</w:t>
      </w:r>
    </w:p>
    <w:p w:rsidR="00D70FB0" w:rsidRDefault="00EE7950">
      <w:pPr>
        <w:pStyle w:val="2"/>
        <w:adjustRightInd w:val="0"/>
        <w:snapToGrid w:val="0"/>
        <w:spacing w:before="0" w:after="0" w:line="560" w:lineRule="exact"/>
        <w:ind w:firstLineChars="200" w:firstLine="643"/>
        <w:rPr>
          <w:rFonts w:eastAsia="楷体" w:cs="黑体"/>
          <w:szCs w:val="22"/>
        </w:rPr>
      </w:pPr>
      <w:bookmarkStart w:id="738" w:name="_Toc21063"/>
      <w:bookmarkStart w:id="739" w:name="_Toc3104"/>
      <w:bookmarkStart w:id="740" w:name="_Toc14758"/>
      <w:bookmarkStart w:id="741" w:name="_Toc1146"/>
      <w:bookmarkStart w:id="742" w:name="_Toc26832"/>
      <w:bookmarkStart w:id="743" w:name="_Toc1620"/>
      <w:bookmarkStart w:id="744" w:name="_Toc18721"/>
      <w:bookmarkStart w:id="745" w:name="_Toc31307"/>
      <w:bookmarkStart w:id="746" w:name="_Toc7968"/>
      <w:bookmarkStart w:id="747" w:name="_Toc84804991"/>
      <w:bookmarkStart w:id="748" w:name="_Toc65153952"/>
      <w:bookmarkStart w:id="749" w:name="_Toc9200"/>
      <w:bookmarkStart w:id="750" w:name="_Toc28168"/>
      <w:r>
        <w:rPr>
          <w:rFonts w:eastAsia="楷体" w:cs="黑体" w:hint="eastAsia"/>
          <w:szCs w:val="22"/>
        </w:rPr>
        <w:t>（三）强化监督评估</w:t>
      </w:r>
      <w:bookmarkEnd w:id="738"/>
      <w:bookmarkEnd w:id="739"/>
      <w:bookmarkEnd w:id="740"/>
      <w:bookmarkEnd w:id="741"/>
      <w:bookmarkEnd w:id="742"/>
      <w:bookmarkEnd w:id="743"/>
      <w:bookmarkEnd w:id="744"/>
      <w:bookmarkEnd w:id="745"/>
      <w:bookmarkEnd w:id="746"/>
      <w:bookmarkEnd w:id="747"/>
    </w:p>
    <w:p w:rsidR="00D70FB0" w:rsidRDefault="00EE795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本规划是“十四五”期间我市推进卫生健康发展的纲领</w:t>
      </w:r>
      <w:r>
        <w:rPr>
          <w:rFonts w:ascii="仿宋_GB2312" w:eastAsia="仿宋_GB2312" w:hAnsi="仿宋_GB2312" w:cs="仿宋_GB2312" w:hint="eastAsia"/>
          <w:sz w:val="32"/>
          <w:szCs w:val="32"/>
        </w:rPr>
        <w:lastRenderedPageBreak/>
        <w:t>性文件，建立健全监督评价机制，对规划实施进度和效果进行年度监测和中期、末期评估，监督重大项目的执行情况，及时发现实施中存在的问题，并研究解决对策。各级政府要定期开展规划实施情况的检查督导，确保规划的顺利实施。</w:t>
      </w:r>
    </w:p>
    <w:p w:rsidR="00D70FB0" w:rsidRDefault="00EE7950">
      <w:pPr>
        <w:pStyle w:val="2"/>
        <w:adjustRightInd w:val="0"/>
        <w:snapToGrid w:val="0"/>
        <w:spacing w:before="0" w:after="0" w:line="560" w:lineRule="exact"/>
        <w:ind w:firstLineChars="200" w:firstLine="643"/>
        <w:rPr>
          <w:rFonts w:eastAsia="楷体" w:cs="黑体"/>
          <w:b w:val="0"/>
          <w:szCs w:val="22"/>
        </w:rPr>
      </w:pPr>
      <w:bookmarkStart w:id="751" w:name="_Toc3877"/>
      <w:bookmarkStart w:id="752" w:name="_Toc27498"/>
      <w:bookmarkStart w:id="753" w:name="_Toc15121"/>
      <w:bookmarkStart w:id="754" w:name="_Toc30930"/>
      <w:bookmarkStart w:id="755" w:name="_Toc2952"/>
      <w:bookmarkStart w:id="756" w:name="_Toc5346"/>
      <w:bookmarkStart w:id="757" w:name="_Toc31014"/>
      <w:bookmarkStart w:id="758" w:name="_Toc16341"/>
      <w:bookmarkStart w:id="759" w:name="_Toc6412"/>
      <w:bookmarkStart w:id="760" w:name="_Toc84804992"/>
      <w:r>
        <w:rPr>
          <w:rFonts w:eastAsia="楷体" w:cs="黑体" w:hint="eastAsia"/>
          <w:szCs w:val="22"/>
        </w:rPr>
        <w:t>（四）加强宣传引导</w:t>
      </w:r>
      <w:bookmarkEnd w:id="748"/>
      <w:bookmarkEnd w:id="749"/>
      <w:bookmarkEnd w:id="750"/>
      <w:bookmarkEnd w:id="751"/>
      <w:bookmarkEnd w:id="752"/>
      <w:bookmarkEnd w:id="753"/>
      <w:bookmarkEnd w:id="754"/>
      <w:bookmarkEnd w:id="755"/>
      <w:bookmarkEnd w:id="756"/>
      <w:bookmarkEnd w:id="757"/>
      <w:bookmarkEnd w:id="758"/>
      <w:bookmarkEnd w:id="759"/>
      <w:bookmarkEnd w:id="760"/>
    </w:p>
    <w:p w:rsidR="00D70FB0" w:rsidRDefault="00EE7950">
      <w:pPr>
        <w:spacing w:line="560" w:lineRule="exact"/>
        <w:ind w:firstLineChars="200" w:firstLine="640"/>
        <w:jc w:val="left"/>
        <w:rPr>
          <w:rFonts w:ascii="仿宋_GB2312" w:eastAsia="仿宋_GB2312" w:hAnsi="仿宋_GB2312" w:cs="仿宋_GB2312"/>
          <w:sz w:val="32"/>
          <w:szCs w:val="32"/>
        </w:rPr>
        <w:sectPr w:rsidR="00D70FB0">
          <w:footerReference w:type="default" r:id="rId11"/>
          <w:footerReference w:type="first" r:id="rId12"/>
          <w:pgSz w:w="11906" w:h="16838"/>
          <w:pgMar w:top="1440" w:right="1800" w:bottom="1440" w:left="1800" w:header="851" w:footer="992" w:gutter="0"/>
          <w:pgNumType w:start="1"/>
          <w:cols w:space="425"/>
          <w:docGrid w:type="lines" w:linePitch="312"/>
        </w:sectPr>
      </w:pPr>
      <w:r>
        <w:rPr>
          <w:rFonts w:ascii="仿宋_GB2312" w:eastAsia="仿宋_GB2312" w:hAnsi="仿宋_GB2312" w:cs="仿宋_GB2312" w:hint="eastAsia"/>
          <w:sz w:val="32"/>
          <w:szCs w:val="32"/>
        </w:rPr>
        <w:t>坚持正确的舆论导向，加强政策解读，营造卫生健康发展良好社会氛围。通过多样化媒体传播手段，及时宣传各</w:t>
      </w:r>
      <w:proofErr w:type="gramStart"/>
      <w:r>
        <w:rPr>
          <w:rFonts w:ascii="仿宋_GB2312" w:eastAsia="仿宋_GB2312" w:hAnsi="仿宋_GB2312" w:cs="仿宋_GB2312" w:hint="eastAsia"/>
          <w:sz w:val="32"/>
          <w:szCs w:val="32"/>
        </w:rPr>
        <w:t>类政策</w:t>
      </w:r>
      <w:proofErr w:type="gramEnd"/>
      <w:r>
        <w:rPr>
          <w:rFonts w:ascii="仿宋_GB2312" w:eastAsia="仿宋_GB2312" w:hAnsi="仿宋_GB2312" w:cs="仿宋_GB2312" w:hint="eastAsia"/>
          <w:sz w:val="32"/>
          <w:szCs w:val="32"/>
        </w:rPr>
        <w:t>信息，回应社会关切，广泛凝聚社会共识，营造全社会关心、理解和支持卫生健康事业的良好氛围。</w:t>
      </w:r>
    </w:p>
    <w:p w:rsidR="00D70FB0" w:rsidRDefault="00EE7950">
      <w:pPr>
        <w:tabs>
          <w:tab w:val="left" w:pos="567"/>
        </w:tabs>
        <w:spacing w:line="500" w:lineRule="exact"/>
        <w:rPr>
          <w:rFonts w:ascii="黑体" w:eastAsia="黑体" w:hAnsi="黑体" w:cs="仿宋_GB2312"/>
          <w:sz w:val="32"/>
          <w:szCs w:val="32"/>
        </w:rPr>
      </w:pPr>
      <w:bookmarkStart w:id="761" w:name="_Toc19931"/>
      <w:bookmarkStart w:id="762" w:name="_Toc13477_WPSOffice_Level1"/>
      <w:r>
        <w:rPr>
          <w:rFonts w:ascii="黑体" w:eastAsia="黑体" w:hAnsi="黑体" w:cs="仿宋_GB2312" w:hint="eastAsia"/>
          <w:sz w:val="32"/>
          <w:szCs w:val="32"/>
        </w:rPr>
        <w:lastRenderedPageBreak/>
        <w:t>附件</w:t>
      </w:r>
    </w:p>
    <w:p w:rsidR="00D70FB0" w:rsidRDefault="00EE7950">
      <w:pPr>
        <w:keepNext/>
        <w:keepLines/>
        <w:adjustRightInd w:val="0"/>
        <w:snapToGrid w:val="0"/>
        <w:spacing w:line="560" w:lineRule="exact"/>
        <w:jc w:val="center"/>
        <w:outlineLvl w:val="0"/>
        <w:rPr>
          <w:rFonts w:ascii="方正小标宋简体" w:eastAsia="方正小标宋简体" w:hAnsi="Calibri" w:cs="黑体"/>
          <w:bCs/>
          <w:kern w:val="44"/>
          <w:sz w:val="42"/>
          <w:szCs w:val="42"/>
        </w:rPr>
      </w:pPr>
      <w:bookmarkStart w:id="763" w:name="_Toc84804993"/>
      <w:r>
        <w:rPr>
          <w:rFonts w:ascii="方正小标宋简体" w:eastAsia="方正小标宋简体" w:hAnsi="Calibri" w:cs="黑体"/>
          <w:bCs/>
          <w:kern w:val="44"/>
          <w:sz w:val="42"/>
          <w:szCs w:val="42"/>
        </w:rPr>
        <w:t>开平</w:t>
      </w:r>
      <w:r>
        <w:rPr>
          <w:rFonts w:ascii="方正小标宋简体" w:eastAsia="方正小标宋简体" w:hAnsi="Calibri" w:cs="黑体" w:hint="eastAsia"/>
          <w:bCs/>
          <w:kern w:val="44"/>
          <w:sz w:val="42"/>
          <w:szCs w:val="42"/>
        </w:rPr>
        <w:t>市卫生健康事业“十四五”规划重大项目计划</w:t>
      </w:r>
      <w:bookmarkEnd w:id="761"/>
      <w:bookmarkEnd w:id="762"/>
      <w:bookmarkEnd w:id="763"/>
    </w:p>
    <w:tbl>
      <w:tblPr>
        <w:tblpPr w:leftFromText="180" w:rightFromText="180" w:vertAnchor="text" w:horzAnchor="margin" w:tblpY="339"/>
        <w:tblOverlap w:val="neve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2702"/>
        <w:gridCol w:w="5015"/>
        <w:gridCol w:w="1648"/>
        <w:gridCol w:w="2126"/>
        <w:gridCol w:w="1702"/>
      </w:tblGrid>
      <w:tr w:rsidR="00D70FB0">
        <w:trPr>
          <w:trHeight w:val="509"/>
          <w:tblHeader/>
        </w:trPr>
        <w:tc>
          <w:tcPr>
            <w:tcW w:w="715" w:type="dxa"/>
            <w:tcMar>
              <w:top w:w="15" w:type="dxa"/>
              <w:left w:w="15" w:type="dxa"/>
              <w:right w:w="15" w:type="dxa"/>
            </w:tcMar>
            <w:vAlign w:val="center"/>
          </w:tcPr>
          <w:p w:rsidR="00D70FB0" w:rsidRDefault="00EE7950">
            <w:pPr>
              <w:widowControl/>
              <w:spacing w:line="320" w:lineRule="exact"/>
              <w:jc w:val="center"/>
              <w:textAlignment w:val="center"/>
              <w:rPr>
                <w:rFonts w:ascii="黑体" w:eastAsia="黑体" w:hAnsi="黑体" w:cs="仿宋_GB2312"/>
                <w:bCs/>
                <w:sz w:val="24"/>
              </w:rPr>
            </w:pPr>
            <w:r>
              <w:rPr>
                <w:rFonts w:ascii="黑体" w:eastAsia="黑体" w:hAnsi="黑体" w:cs="仿宋_GB2312" w:hint="eastAsia"/>
                <w:bCs/>
                <w:kern w:val="0"/>
                <w:sz w:val="24"/>
              </w:rPr>
              <w:t>序号</w:t>
            </w:r>
          </w:p>
        </w:tc>
        <w:tc>
          <w:tcPr>
            <w:tcW w:w="2702" w:type="dxa"/>
            <w:tcMar>
              <w:top w:w="15" w:type="dxa"/>
              <w:left w:w="15" w:type="dxa"/>
              <w:right w:w="15" w:type="dxa"/>
            </w:tcMar>
            <w:vAlign w:val="center"/>
          </w:tcPr>
          <w:p w:rsidR="00D70FB0" w:rsidRDefault="00EE7950">
            <w:pPr>
              <w:widowControl/>
              <w:spacing w:line="320" w:lineRule="exact"/>
              <w:jc w:val="center"/>
              <w:textAlignment w:val="center"/>
              <w:rPr>
                <w:rFonts w:ascii="黑体" w:eastAsia="黑体" w:hAnsi="黑体" w:cs="仿宋_GB2312"/>
                <w:bCs/>
                <w:sz w:val="24"/>
              </w:rPr>
            </w:pPr>
            <w:r>
              <w:rPr>
                <w:rFonts w:ascii="黑体" w:eastAsia="黑体" w:hAnsi="黑体" w:cs="仿宋_GB2312" w:hint="eastAsia"/>
                <w:bCs/>
                <w:kern w:val="0"/>
                <w:sz w:val="24"/>
              </w:rPr>
              <w:t>项目名称</w:t>
            </w:r>
          </w:p>
        </w:tc>
        <w:tc>
          <w:tcPr>
            <w:tcW w:w="5015" w:type="dxa"/>
            <w:tcMar>
              <w:top w:w="15" w:type="dxa"/>
              <w:left w:w="15" w:type="dxa"/>
              <w:right w:w="15" w:type="dxa"/>
            </w:tcMar>
            <w:vAlign w:val="center"/>
          </w:tcPr>
          <w:p w:rsidR="00D70FB0" w:rsidRDefault="00EE7950">
            <w:pPr>
              <w:widowControl/>
              <w:spacing w:line="320" w:lineRule="exact"/>
              <w:jc w:val="center"/>
              <w:textAlignment w:val="center"/>
              <w:rPr>
                <w:rFonts w:ascii="黑体" w:eastAsia="黑体" w:hAnsi="黑体" w:cs="仿宋_GB2312"/>
                <w:bCs/>
                <w:sz w:val="24"/>
              </w:rPr>
            </w:pPr>
            <w:r>
              <w:rPr>
                <w:rFonts w:ascii="黑体" w:eastAsia="黑体" w:hAnsi="黑体" w:cs="仿宋_GB2312" w:hint="eastAsia"/>
                <w:bCs/>
                <w:kern w:val="0"/>
                <w:sz w:val="24"/>
              </w:rPr>
              <w:t>主要建设内容和规模</w:t>
            </w:r>
          </w:p>
        </w:tc>
        <w:tc>
          <w:tcPr>
            <w:tcW w:w="1648" w:type="dxa"/>
            <w:tcMar>
              <w:top w:w="15" w:type="dxa"/>
              <w:left w:w="15" w:type="dxa"/>
              <w:right w:w="15" w:type="dxa"/>
            </w:tcMar>
            <w:vAlign w:val="center"/>
          </w:tcPr>
          <w:p w:rsidR="00D70FB0" w:rsidRDefault="00EE7950">
            <w:pPr>
              <w:widowControl/>
              <w:spacing w:line="320" w:lineRule="exact"/>
              <w:jc w:val="center"/>
              <w:textAlignment w:val="center"/>
              <w:rPr>
                <w:rFonts w:ascii="黑体" w:eastAsia="黑体" w:hAnsi="黑体" w:cs="仿宋_GB2312"/>
                <w:bCs/>
                <w:kern w:val="0"/>
                <w:sz w:val="24"/>
              </w:rPr>
            </w:pPr>
            <w:r>
              <w:rPr>
                <w:rFonts w:ascii="黑体" w:eastAsia="黑体" w:hAnsi="黑体" w:cs="仿宋_GB2312" w:hint="eastAsia"/>
                <w:bCs/>
                <w:kern w:val="0"/>
                <w:sz w:val="24"/>
              </w:rPr>
              <w:t>项目总投资（万元）</w:t>
            </w:r>
          </w:p>
        </w:tc>
        <w:tc>
          <w:tcPr>
            <w:tcW w:w="2126" w:type="dxa"/>
            <w:tcMar>
              <w:top w:w="15" w:type="dxa"/>
              <w:left w:w="15" w:type="dxa"/>
              <w:right w:w="15" w:type="dxa"/>
            </w:tcMar>
            <w:vAlign w:val="center"/>
          </w:tcPr>
          <w:p w:rsidR="00D70FB0" w:rsidRDefault="00EE7950">
            <w:pPr>
              <w:widowControl/>
              <w:spacing w:line="320" w:lineRule="exact"/>
              <w:jc w:val="center"/>
              <w:textAlignment w:val="center"/>
              <w:rPr>
                <w:rFonts w:ascii="黑体" w:eastAsia="黑体" w:hAnsi="黑体" w:cs="仿宋_GB2312"/>
                <w:bCs/>
                <w:sz w:val="24"/>
              </w:rPr>
            </w:pPr>
            <w:r>
              <w:rPr>
                <w:rFonts w:ascii="黑体" w:eastAsia="黑体" w:hAnsi="黑体" w:cs="仿宋_GB2312" w:hint="eastAsia"/>
                <w:bCs/>
                <w:kern w:val="0"/>
                <w:sz w:val="24"/>
              </w:rPr>
              <w:t>建设起止年限</w:t>
            </w:r>
          </w:p>
        </w:tc>
        <w:tc>
          <w:tcPr>
            <w:tcW w:w="1702" w:type="dxa"/>
            <w:tcMar>
              <w:top w:w="15" w:type="dxa"/>
              <w:left w:w="15" w:type="dxa"/>
              <w:right w:w="15" w:type="dxa"/>
            </w:tcMar>
            <w:vAlign w:val="center"/>
          </w:tcPr>
          <w:p w:rsidR="00D70FB0" w:rsidRDefault="00EE7950">
            <w:pPr>
              <w:widowControl/>
              <w:spacing w:line="320" w:lineRule="exact"/>
              <w:jc w:val="center"/>
              <w:textAlignment w:val="center"/>
              <w:rPr>
                <w:rFonts w:ascii="黑体" w:eastAsia="黑体" w:hAnsi="黑体" w:cs="仿宋_GB2312"/>
                <w:bCs/>
                <w:kern w:val="0"/>
                <w:sz w:val="24"/>
              </w:rPr>
            </w:pPr>
            <w:r>
              <w:rPr>
                <w:rFonts w:ascii="黑体" w:eastAsia="黑体" w:hAnsi="黑体" w:cs="仿宋_GB2312" w:hint="eastAsia"/>
                <w:bCs/>
                <w:kern w:val="0"/>
                <w:sz w:val="24"/>
              </w:rPr>
              <w:t>十四五期间主要建设内容</w:t>
            </w:r>
          </w:p>
        </w:tc>
      </w:tr>
      <w:tr w:rsidR="00D70FB0">
        <w:trPr>
          <w:trHeight w:val="1297"/>
        </w:trPr>
        <w:tc>
          <w:tcPr>
            <w:tcW w:w="715" w:type="dxa"/>
            <w:tcMar>
              <w:top w:w="15" w:type="dxa"/>
              <w:left w:w="15" w:type="dxa"/>
              <w:right w:w="15" w:type="dxa"/>
            </w:tcMar>
            <w:vAlign w:val="center"/>
          </w:tcPr>
          <w:p w:rsidR="00D70FB0" w:rsidRDefault="00EE7950">
            <w:pPr>
              <w:widowControl/>
              <w:spacing w:line="320" w:lineRule="exact"/>
              <w:jc w:val="center"/>
              <w:textAlignment w:val="center"/>
              <w:rPr>
                <w:rFonts w:ascii="仿宋_GB2312" w:eastAsia="仿宋_GB2312" w:hAnsi="Calibri" w:cs="仿宋_GB2312"/>
                <w:kern w:val="0"/>
                <w:sz w:val="24"/>
              </w:rPr>
            </w:pPr>
            <w:r>
              <w:rPr>
                <w:rFonts w:ascii="仿宋_GB2312" w:eastAsia="仿宋_GB2312" w:hAnsi="Calibri" w:cs="仿宋_GB2312" w:hint="eastAsia"/>
                <w:kern w:val="0"/>
                <w:sz w:val="24"/>
              </w:rPr>
              <w:t>1</w:t>
            </w:r>
          </w:p>
        </w:tc>
        <w:tc>
          <w:tcPr>
            <w:tcW w:w="2702" w:type="dxa"/>
            <w:tcMar>
              <w:top w:w="15" w:type="dxa"/>
              <w:left w:w="15" w:type="dxa"/>
              <w:right w:w="15" w:type="dxa"/>
            </w:tcMar>
            <w:vAlign w:val="center"/>
          </w:tcPr>
          <w:p w:rsidR="00D70FB0" w:rsidRDefault="00EE7950">
            <w:pPr>
              <w:widowControl/>
              <w:spacing w:line="320" w:lineRule="exact"/>
              <w:jc w:val="left"/>
              <w:rPr>
                <w:rFonts w:ascii="仿宋_GB2312" w:eastAsia="仿宋_GB2312" w:hAnsi="Calibri" w:cs="仿宋_GB2312"/>
                <w:sz w:val="24"/>
              </w:rPr>
            </w:pPr>
            <w:r>
              <w:rPr>
                <w:rFonts w:ascii="仿宋_GB2312" w:eastAsia="仿宋_GB2312" w:hAnsi="Calibri" w:cs="仿宋_GB2312" w:hint="eastAsia"/>
                <w:kern w:val="0"/>
                <w:sz w:val="24"/>
              </w:rPr>
              <w:t>开平市中心医院妇产儿科住院大楼建设项目</w:t>
            </w:r>
          </w:p>
        </w:tc>
        <w:tc>
          <w:tcPr>
            <w:tcW w:w="5015"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sz w:val="24"/>
              </w:rPr>
            </w:pPr>
            <w:r>
              <w:rPr>
                <w:rFonts w:ascii="仿宋_GB2312" w:eastAsia="仿宋_GB2312" w:hAnsi="Calibri" w:cs="仿宋_GB2312" w:hint="eastAsia"/>
                <w:kern w:val="0"/>
                <w:sz w:val="24"/>
              </w:rPr>
              <w:t>项目占地面积</w:t>
            </w:r>
            <w:r>
              <w:rPr>
                <w:rFonts w:ascii="仿宋_GB2312" w:eastAsia="仿宋_GB2312" w:hAnsi="Calibri" w:cs="仿宋_GB2312" w:hint="eastAsia"/>
                <w:kern w:val="0"/>
                <w:sz w:val="24"/>
              </w:rPr>
              <w:t>1600</w:t>
            </w:r>
            <w:r>
              <w:rPr>
                <w:rFonts w:ascii="仿宋_GB2312" w:eastAsia="仿宋_GB2312" w:hAnsi="Calibri" w:cs="仿宋_GB2312" w:hint="eastAsia"/>
                <w:kern w:val="0"/>
                <w:sz w:val="24"/>
              </w:rPr>
              <w:t>平方米，建筑总面积</w:t>
            </w:r>
            <w:r>
              <w:rPr>
                <w:rFonts w:ascii="仿宋_GB2312" w:eastAsia="仿宋_GB2312" w:hAnsi="Calibri" w:cs="仿宋_GB2312" w:hint="eastAsia"/>
                <w:kern w:val="0"/>
                <w:sz w:val="24"/>
              </w:rPr>
              <w:t>25380</w:t>
            </w:r>
            <w:r>
              <w:rPr>
                <w:rFonts w:ascii="仿宋_GB2312" w:eastAsia="仿宋_GB2312" w:hAnsi="Calibri" w:cs="仿宋_GB2312" w:hint="eastAsia"/>
                <w:kern w:val="0"/>
                <w:sz w:val="24"/>
              </w:rPr>
              <w:t>平方米。</w:t>
            </w:r>
          </w:p>
        </w:tc>
        <w:tc>
          <w:tcPr>
            <w:tcW w:w="1648"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11000</w:t>
            </w:r>
          </w:p>
        </w:tc>
        <w:tc>
          <w:tcPr>
            <w:tcW w:w="2126"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2021</w:t>
            </w:r>
            <w:r>
              <w:rPr>
                <w:rFonts w:ascii="仿宋" w:eastAsia="仿宋" w:hAnsi="仿宋" w:cs="仿宋_GB2312" w:hint="eastAsia"/>
                <w:kern w:val="0"/>
                <w:sz w:val="24"/>
              </w:rPr>
              <w:t>～</w:t>
            </w:r>
            <w:r>
              <w:rPr>
                <w:rFonts w:ascii="仿宋_GB2312" w:eastAsia="仿宋_GB2312" w:hAnsi="Calibri" w:cs="仿宋_GB2312" w:hint="eastAsia"/>
                <w:kern w:val="0"/>
                <w:sz w:val="24"/>
              </w:rPr>
              <w:t>2025</w:t>
            </w:r>
            <w:r>
              <w:rPr>
                <w:rFonts w:ascii="仿宋_GB2312" w:eastAsia="仿宋_GB2312" w:hAnsi="Calibri" w:cs="仿宋_GB2312" w:hint="eastAsia"/>
                <w:kern w:val="0"/>
                <w:sz w:val="24"/>
              </w:rPr>
              <w:t>年</w:t>
            </w:r>
          </w:p>
        </w:tc>
        <w:tc>
          <w:tcPr>
            <w:tcW w:w="1702"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全面完成并投入使用</w:t>
            </w:r>
          </w:p>
        </w:tc>
      </w:tr>
      <w:tr w:rsidR="00D70FB0">
        <w:trPr>
          <w:trHeight w:val="851"/>
        </w:trPr>
        <w:tc>
          <w:tcPr>
            <w:tcW w:w="715" w:type="dxa"/>
            <w:tcMar>
              <w:top w:w="15" w:type="dxa"/>
              <w:left w:w="15" w:type="dxa"/>
              <w:right w:w="15" w:type="dxa"/>
            </w:tcMar>
            <w:vAlign w:val="center"/>
          </w:tcPr>
          <w:p w:rsidR="00D70FB0" w:rsidRDefault="00EE7950">
            <w:pPr>
              <w:widowControl/>
              <w:spacing w:line="320" w:lineRule="exact"/>
              <w:jc w:val="center"/>
              <w:textAlignment w:val="center"/>
              <w:rPr>
                <w:rFonts w:ascii="仿宋_GB2312" w:eastAsia="仿宋_GB2312" w:hAnsi="Calibri" w:cs="仿宋_GB2312"/>
                <w:kern w:val="0"/>
                <w:sz w:val="24"/>
              </w:rPr>
            </w:pPr>
            <w:r>
              <w:rPr>
                <w:rFonts w:ascii="仿宋_GB2312" w:eastAsia="仿宋_GB2312" w:hAnsi="Calibri" w:cs="仿宋_GB2312" w:hint="eastAsia"/>
                <w:kern w:val="0"/>
                <w:sz w:val="24"/>
              </w:rPr>
              <w:t>2</w:t>
            </w:r>
          </w:p>
        </w:tc>
        <w:tc>
          <w:tcPr>
            <w:tcW w:w="2702"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sz w:val="24"/>
              </w:rPr>
            </w:pPr>
            <w:r>
              <w:rPr>
                <w:rFonts w:ascii="仿宋_GB2312" w:eastAsia="仿宋_GB2312" w:hAnsi="Calibri" w:cs="仿宋_GB2312" w:hint="eastAsia"/>
                <w:kern w:val="0"/>
                <w:sz w:val="24"/>
              </w:rPr>
              <w:t>开平市中医院</w:t>
            </w:r>
            <w:proofErr w:type="gramStart"/>
            <w:r>
              <w:rPr>
                <w:rFonts w:ascii="仿宋_GB2312" w:eastAsia="仿宋_GB2312" w:hAnsi="Calibri" w:cs="仿宋_GB2312" w:hint="eastAsia"/>
                <w:kern w:val="0"/>
                <w:sz w:val="24"/>
              </w:rPr>
              <w:t>医养中心</w:t>
            </w:r>
            <w:proofErr w:type="gramEnd"/>
            <w:r>
              <w:rPr>
                <w:rFonts w:ascii="仿宋_GB2312" w:eastAsia="仿宋_GB2312" w:hAnsi="Calibri" w:cs="仿宋_GB2312" w:hint="eastAsia"/>
                <w:kern w:val="0"/>
                <w:sz w:val="24"/>
              </w:rPr>
              <w:t>建设项目</w:t>
            </w:r>
          </w:p>
        </w:tc>
        <w:tc>
          <w:tcPr>
            <w:tcW w:w="5015"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sz w:val="24"/>
              </w:rPr>
            </w:pPr>
            <w:r>
              <w:rPr>
                <w:rFonts w:ascii="仿宋_GB2312" w:eastAsia="仿宋_GB2312" w:hAnsi="Calibri" w:cs="仿宋_GB2312" w:hint="eastAsia"/>
                <w:kern w:val="0"/>
                <w:sz w:val="24"/>
              </w:rPr>
              <w:t>项目占地</w:t>
            </w:r>
            <w:r>
              <w:rPr>
                <w:rFonts w:ascii="仿宋_GB2312" w:eastAsia="仿宋_GB2312" w:hAnsi="Calibri" w:cs="仿宋_GB2312" w:hint="eastAsia"/>
                <w:kern w:val="0"/>
                <w:sz w:val="24"/>
              </w:rPr>
              <w:t>16.8</w:t>
            </w:r>
            <w:r>
              <w:rPr>
                <w:rFonts w:ascii="仿宋_GB2312" w:eastAsia="仿宋_GB2312" w:hAnsi="Calibri" w:cs="仿宋_GB2312" w:hint="eastAsia"/>
                <w:kern w:val="0"/>
                <w:sz w:val="24"/>
              </w:rPr>
              <w:t>亩，建设</w:t>
            </w:r>
            <w:proofErr w:type="gramStart"/>
            <w:r>
              <w:rPr>
                <w:rFonts w:ascii="仿宋_GB2312" w:eastAsia="仿宋_GB2312" w:hAnsi="Calibri" w:cs="仿宋_GB2312" w:hint="eastAsia"/>
                <w:kern w:val="0"/>
                <w:sz w:val="24"/>
              </w:rPr>
              <w:t>医</w:t>
            </w:r>
            <w:proofErr w:type="gramEnd"/>
            <w:r>
              <w:rPr>
                <w:rFonts w:ascii="仿宋_GB2312" w:eastAsia="仿宋_GB2312" w:hAnsi="Calibri" w:cs="仿宋_GB2312" w:hint="eastAsia"/>
                <w:kern w:val="0"/>
                <w:sz w:val="24"/>
              </w:rPr>
              <w:t>养大楼及部分地下室</w:t>
            </w:r>
            <w:r>
              <w:rPr>
                <w:rFonts w:ascii="仿宋_GB2312" w:eastAsia="仿宋_GB2312" w:hAnsi="Calibri" w:cs="仿宋_GB2312" w:hint="eastAsia"/>
                <w:kern w:val="0"/>
                <w:sz w:val="24"/>
              </w:rPr>
              <w:t xml:space="preserve">, </w:t>
            </w:r>
            <w:r>
              <w:rPr>
                <w:rFonts w:ascii="仿宋_GB2312" w:eastAsia="仿宋_GB2312" w:hAnsi="Calibri" w:cs="仿宋_GB2312" w:hint="eastAsia"/>
                <w:kern w:val="0"/>
                <w:sz w:val="24"/>
              </w:rPr>
              <w:t>总建筑面积约</w:t>
            </w:r>
            <w:r>
              <w:rPr>
                <w:rFonts w:ascii="仿宋_GB2312" w:eastAsia="仿宋_GB2312" w:hAnsi="Calibri" w:cs="仿宋_GB2312" w:hint="eastAsia"/>
                <w:kern w:val="0"/>
                <w:sz w:val="24"/>
              </w:rPr>
              <w:t>35197</w:t>
            </w:r>
            <w:r>
              <w:rPr>
                <w:rFonts w:ascii="仿宋_GB2312" w:eastAsia="仿宋_GB2312" w:hAnsi="Calibri" w:cs="仿宋_GB2312" w:hint="eastAsia"/>
                <w:kern w:val="0"/>
                <w:sz w:val="24"/>
              </w:rPr>
              <w:t>平方米。项目集养老居住区、</w:t>
            </w:r>
            <w:r>
              <w:rPr>
                <w:rFonts w:ascii="仿宋_GB2312" w:eastAsia="仿宋_GB2312" w:hAnsi="Calibri" w:cs="仿宋_GB2312" w:hint="eastAsia"/>
                <w:kern w:val="0"/>
                <w:sz w:val="24"/>
              </w:rPr>
              <w:t xml:space="preserve"> </w:t>
            </w:r>
            <w:r>
              <w:rPr>
                <w:rFonts w:ascii="仿宋_GB2312" w:eastAsia="仿宋_GB2312" w:hAnsi="Calibri" w:cs="仿宋_GB2312" w:hint="eastAsia"/>
                <w:kern w:val="0"/>
                <w:sz w:val="24"/>
              </w:rPr>
              <w:t>医疗康复室、服务中心、餐厅、娱乐活动区、行政办公、会议厅、停车场等功能用房于一体，设置医疗及养老床位</w:t>
            </w:r>
            <w:r>
              <w:rPr>
                <w:rFonts w:ascii="仿宋_GB2312" w:eastAsia="仿宋_GB2312" w:hAnsi="Calibri" w:cs="仿宋_GB2312" w:hint="eastAsia"/>
                <w:kern w:val="0"/>
                <w:sz w:val="24"/>
              </w:rPr>
              <w:t>476</w:t>
            </w:r>
            <w:r>
              <w:rPr>
                <w:rFonts w:ascii="仿宋_GB2312" w:eastAsia="仿宋_GB2312" w:hAnsi="Calibri" w:cs="仿宋_GB2312" w:hint="eastAsia"/>
                <w:kern w:val="0"/>
                <w:sz w:val="24"/>
              </w:rPr>
              <w:t>张、停车位</w:t>
            </w:r>
            <w:r>
              <w:rPr>
                <w:rFonts w:ascii="仿宋_GB2312" w:eastAsia="仿宋_GB2312" w:hAnsi="Calibri" w:cs="仿宋_GB2312" w:hint="eastAsia"/>
                <w:kern w:val="0"/>
                <w:sz w:val="24"/>
              </w:rPr>
              <w:t>280</w:t>
            </w:r>
            <w:r>
              <w:rPr>
                <w:rFonts w:ascii="仿宋_GB2312" w:eastAsia="仿宋_GB2312" w:hAnsi="Calibri" w:cs="仿宋_GB2312" w:hint="eastAsia"/>
                <w:kern w:val="0"/>
                <w:sz w:val="24"/>
              </w:rPr>
              <w:t>个及相应配套。</w:t>
            </w:r>
          </w:p>
        </w:tc>
        <w:tc>
          <w:tcPr>
            <w:tcW w:w="1648"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26011</w:t>
            </w:r>
          </w:p>
        </w:tc>
        <w:tc>
          <w:tcPr>
            <w:tcW w:w="2126"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2022</w:t>
            </w:r>
            <w:r>
              <w:rPr>
                <w:rFonts w:ascii="仿宋" w:eastAsia="仿宋" w:hAnsi="仿宋" w:cs="仿宋_GB2312" w:hint="eastAsia"/>
                <w:kern w:val="0"/>
                <w:sz w:val="24"/>
              </w:rPr>
              <w:t>～</w:t>
            </w:r>
            <w:r>
              <w:rPr>
                <w:rFonts w:ascii="仿宋_GB2312" w:eastAsia="仿宋_GB2312" w:hAnsi="Calibri" w:cs="仿宋_GB2312" w:hint="eastAsia"/>
                <w:kern w:val="0"/>
                <w:sz w:val="24"/>
              </w:rPr>
              <w:t>2025</w:t>
            </w:r>
            <w:r>
              <w:rPr>
                <w:rFonts w:ascii="仿宋_GB2312" w:eastAsia="仿宋_GB2312" w:hAnsi="Calibri" w:cs="仿宋_GB2312" w:hint="eastAsia"/>
                <w:kern w:val="0"/>
                <w:sz w:val="24"/>
              </w:rPr>
              <w:t>年</w:t>
            </w:r>
          </w:p>
        </w:tc>
        <w:tc>
          <w:tcPr>
            <w:tcW w:w="1702"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全面完成并投入使用</w:t>
            </w:r>
          </w:p>
        </w:tc>
      </w:tr>
      <w:tr w:rsidR="00D70FB0">
        <w:trPr>
          <w:trHeight w:val="1075"/>
        </w:trPr>
        <w:tc>
          <w:tcPr>
            <w:tcW w:w="715" w:type="dxa"/>
            <w:tcMar>
              <w:top w:w="15" w:type="dxa"/>
              <w:left w:w="15" w:type="dxa"/>
              <w:right w:w="15" w:type="dxa"/>
            </w:tcMar>
            <w:vAlign w:val="center"/>
          </w:tcPr>
          <w:p w:rsidR="00D70FB0" w:rsidRDefault="00EE7950">
            <w:pPr>
              <w:widowControl/>
              <w:spacing w:line="320" w:lineRule="exact"/>
              <w:jc w:val="center"/>
              <w:textAlignment w:val="center"/>
              <w:rPr>
                <w:rFonts w:ascii="仿宋_GB2312" w:eastAsia="仿宋_GB2312" w:hAnsi="Calibri" w:cs="仿宋_GB2312"/>
                <w:kern w:val="0"/>
                <w:sz w:val="24"/>
              </w:rPr>
            </w:pPr>
            <w:r>
              <w:rPr>
                <w:rFonts w:ascii="仿宋_GB2312" w:eastAsia="仿宋_GB2312" w:hAnsi="Calibri" w:cs="仿宋_GB2312" w:hint="eastAsia"/>
                <w:kern w:val="0"/>
                <w:sz w:val="24"/>
              </w:rPr>
              <w:t>3</w:t>
            </w:r>
          </w:p>
        </w:tc>
        <w:tc>
          <w:tcPr>
            <w:tcW w:w="2702"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sz w:val="24"/>
              </w:rPr>
            </w:pPr>
            <w:r>
              <w:rPr>
                <w:rFonts w:ascii="仿宋_GB2312" w:eastAsia="仿宋_GB2312" w:hAnsi="Calibri" w:cs="仿宋_GB2312" w:hint="eastAsia"/>
                <w:kern w:val="0"/>
                <w:sz w:val="24"/>
              </w:rPr>
              <w:t>开平市第三人民医院新建住院综合大楼及配套项目</w:t>
            </w:r>
          </w:p>
        </w:tc>
        <w:tc>
          <w:tcPr>
            <w:tcW w:w="5015"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sz w:val="24"/>
              </w:rPr>
            </w:pPr>
            <w:r>
              <w:rPr>
                <w:rFonts w:ascii="仿宋_GB2312" w:eastAsia="仿宋_GB2312" w:hAnsi="Calibri" w:cs="仿宋_GB2312" w:hint="eastAsia"/>
                <w:kern w:val="0"/>
                <w:sz w:val="24"/>
              </w:rPr>
              <w:t>新建住院综合大楼一幢，总建筑面积</w:t>
            </w:r>
            <w:r>
              <w:rPr>
                <w:rFonts w:ascii="仿宋_GB2312" w:eastAsia="仿宋_GB2312" w:hAnsi="Calibri" w:cs="仿宋_GB2312" w:hint="eastAsia"/>
                <w:kern w:val="0"/>
                <w:sz w:val="24"/>
              </w:rPr>
              <w:t>10663</w:t>
            </w:r>
            <w:r>
              <w:rPr>
                <w:rFonts w:ascii="仿宋_GB2312" w:eastAsia="仿宋_GB2312" w:hAnsi="Calibri" w:cs="仿宋_GB2312" w:hint="eastAsia"/>
                <w:kern w:val="0"/>
                <w:sz w:val="24"/>
              </w:rPr>
              <w:t>平方米，共五层，钢混结构，其中地上建筑面积</w:t>
            </w:r>
            <w:r>
              <w:rPr>
                <w:rFonts w:ascii="仿宋_GB2312" w:eastAsia="仿宋_GB2312" w:hAnsi="Calibri" w:cs="仿宋_GB2312" w:hint="eastAsia"/>
                <w:kern w:val="0"/>
                <w:sz w:val="24"/>
              </w:rPr>
              <w:t xml:space="preserve">8065 </w:t>
            </w:r>
            <w:r>
              <w:rPr>
                <w:rFonts w:ascii="仿宋_GB2312" w:eastAsia="仿宋_GB2312" w:hAnsi="Calibri" w:cs="仿宋_GB2312" w:hint="eastAsia"/>
                <w:kern w:val="0"/>
                <w:sz w:val="24"/>
              </w:rPr>
              <w:t>平方米，地下建筑面积</w:t>
            </w:r>
            <w:r>
              <w:rPr>
                <w:rFonts w:ascii="仿宋_GB2312" w:eastAsia="仿宋_GB2312" w:hAnsi="Calibri" w:cs="仿宋_GB2312" w:hint="eastAsia"/>
                <w:kern w:val="0"/>
                <w:sz w:val="24"/>
              </w:rPr>
              <w:t>2598</w:t>
            </w:r>
            <w:r>
              <w:rPr>
                <w:rFonts w:ascii="仿宋_GB2312" w:eastAsia="仿宋_GB2312" w:hAnsi="Calibri" w:cs="仿宋_GB2312" w:hint="eastAsia"/>
                <w:kern w:val="0"/>
                <w:sz w:val="24"/>
              </w:rPr>
              <w:t>平方米。地下室设置消防水池、消防水系房、发电机、</w:t>
            </w:r>
            <w:r>
              <w:rPr>
                <w:rFonts w:ascii="仿宋_GB2312" w:eastAsia="仿宋_GB2312" w:hAnsi="Calibri" w:cs="仿宋_GB2312" w:hint="eastAsia"/>
                <w:kern w:val="0"/>
                <w:sz w:val="24"/>
              </w:rPr>
              <w:t>66</w:t>
            </w:r>
            <w:r>
              <w:rPr>
                <w:rFonts w:ascii="仿宋_GB2312" w:eastAsia="仿宋_GB2312" w:hAnsi="Calibri" w:cs="仿宋_GB2312" w:hint="eastAsia"/>
                <w:kern w:val="0"/>
                <w:sz w:val="24"/>
              </w:rPr>
              <w:t>个停车位及配套的人防面积，一至五层为门诊业务用房及住院病房，并在建筑东边设置一个</w:t>
            </w:r>
            <w:r>
              <w:rPr>
                <w:rFonts w:ascii="仿宋_GB2312" w:eastAsia="仿宋_GB2312" w:hAnsi="Calibri" w:cs="仿宋_GB2312" w:hint="eastAsia"/>
                <w:kern w:val="0"/>
                <w:sz w:val="24"/>
              </w:rPr>
              <w:t>960</w:t>
            </w:r>
            <w:r>
              <w:rPr>
                <w:rFonts w:ascii="仿宋_GB2312" w:eastAsia="仿宋_GB2312" w:hAnsi="Calibri" w:cs="仿宋_GB2312" w:hint="eastAsia"/>
                <w:kern w:val="0"/>
                <w:sz w:val="24"/>
              </w:rPr>
              <w:t>平方米的室外封闭活动场地。项目建成后，可新增</w:t>
            </w:r>
            <w:r>
              <w:rPr>
                <w:rFonts w:ascii="仿宋_GB2312" w:eastAsia="仿宋_GB2312" w:hAnsi="Calibri" w:cs="仿宋_GB2312" w:hint="eastAsia"/>
                <w:kern w:val="0"/>
                <w:sz w:val="24"/>
              </w:rPr>
              <w:t>240</w:t>
            </w:r>
            <w:r>
              <w:rPr>
                <w:rFonts w:ascii="仿宋_GB2312" w:eastAsia="仿宋_GB2312" w:hAnsi="Calibri" w:cs="仿宋_GB2312" w:hint="eastAsia"/>
                <w:kern w:val="0"/>
                <w:sz w:val="24"/>
              </w:rPr>
              <w:t>张精神病住院治疗床位。</w:t>
            </w:r>
          </w:p>
        </w:tc>
        <w:tc>
          <w:tcPr>
            <w:tcW w:w="1648"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4800</w:t>
            </w:r>
          </w:p>
        </w:tc>
        <w:tc>
          <w:tcPr>
            <w:tcW w:w="2126"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2022</w:t>
            </w:r>
            <w:r>
              <w:rPr>
                <w:rFonts w:ascii="仿宋" w:eastAsia="仿宋" w:hAnsi="仿宋" w:cs="仿宋_GB2312" w:hint="eastAsia"/>
                <w:kern w:val="0"/>
                <w:sz w:val="24"/>
              </w:rPr>
              <w:t>～</w:t>
            </w:r>
            <w:r>
              <w:rPr>
                <w:rFonts w:ascii="仿宋_GB2312" w:eastAsia="仿宋_GB2312" w:hAnsi="Calibri" w:cs="仿宋_GB2312" w:hint="eastAsia"/>
                <w:kern w:val="0"/>
                <w:sz w:val="24"/>
              </w:rPr>
              <w:t>2025</w:t>
            </w:r>
            <w:r>
              <w:rPr>
                <w:rFonts w:ascii="仿宋_GB2312" w:eastAsia="仿宋_GB2312" w:hAnsi="Calibri" w:cs="仿宋_GB2312" w:hint="eastAsia"/>
                <w:kern w:val="0"/>
                <w:sz w:val="24"/>
              </w:rPr>
              <w:t>年</w:t>
            </w:r>
          </w:p>
        </w:tc>
        <w:tc>
          <w:tcPr>
            <w:tcW w:w="1702"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全面完成并投入使用</w:t>
            </w:r>
          </w:p>
        </w:tc>
      </w:tr>
      <w:tr w:rsidR="00D70FB0">
        <w:trPr>
          <w:trHeight w:val="1075"/>
        </w:trPr>
        <w:tc>
          <w:tcPr>
            <w:tcW w:w="715" w:type="dxa"/>
            <w:tcMar>
              <w:top w:w="15" w:type="dxa"/>
              <w:left w:w="15" w:type="dxa"/>
              <w:right w:w="15" w:type="dxa"/>
            </w:tcMar>
            <w:vAlign w:val="center"/>
          </w:tcPr>
          <w:p w:rsidR="00D70FB0" w:rsidRDefault="00EE7950">
            <w:pPr>
              <w:widowControl/>
              <w:spacing w:line="320" w:lineRule="exact"/>
              <w:jc w:val="center"/>
              <w:textAlignment w:val="center"/>
              <w:rPr>
                <w:rFonts w:ascii="仿宋_GB2312" w:eastAsia="仿宋_GB2312" w:hAnsi="Calibri" w:cs="仿宋_GB2312"/>
                <w:kern w:val="0"/>
                <w:sz w:val="24"/>
              </w:rPr>
            </w:pPr>
            <w:r>
              <w:rPr>
                <w:rFonts w:ascii="仿宋_GB2312" w:eastAsia="仿宋_GB2312" w:hAnsi="Calibri" w:cs="仿宋_GB2312" w:hint="eastAsia"/>
                <w:kern w:val="0"/>
                <w:sz w:val="24"/>
              </w:rPr>
              <w:lastRenderedPageBreak/>
              <w:t>4</w:t>
            </w:r>
          </w:p>
        </w:tc>
        <w:tc>
          <w:tcPr>
            <w:tcW w:w="2702"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开平市妇幼保健院整体升级建设项目</w:t>
            </w:r>
          </w:p>
        </w:tc>
        <w:tc>
          <w:tcPr>
            <w:tcW w:w="5015"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对住院大楼、铺位楼、洗衣房、饭堂及综合大楼部分楼层进行内部改造装修升级，改造装修面积约</w:t>
            </w:r>
            <w:r>
              <w:rPr>
                <w:rFonts w:ascii="仿宋_GB2312" w:eastAsia="仿宋_GB2312" w:hAnsi="Calibri" w:cs="仿宋_GB2312" w:hint="eastAsia"/>
                <w:kern w:val="0"/>
                <w:sz w:val="24"/>
              </w:rPr>
              <w:t>16421</w:t>
            </w:r>
            <w:r>
              <w:rPr>
                <w:rFonts w:ascii="仿宋_GB2312" w:eastAsia="仿宋_GB2312" w:hAnsi="Calibri" w:cs="仿宋_GB2312" w:hint="eastAsia"/>
                <w:kern w:val="0"/>
                <w:sz w:val="24"/>
              </w:rPr>
              <w:t>平方米；平整医院操场地面，约</w:t>
            </w:r>
            <w:r>
              <w:rPr>
                <w:rFonts w:ascii="仿宋_GB2312" w:eastAsia="仿宋_GB2312" w:hAnsi="Calibri" w:cs="仿宋_GB2312" w:hint="eastAsia"/>
                <w:kern w:val="0"/>
                <w:sz w:val="24"/>
              </w:rPr>
              <w:t xml:space="preserve">2500 </w:t>
            </w:r>
            <w:r>
              <w:rPr>
                <w:rFonts w:ascii="仿宋_GB2312" w:eastAsia="仿宋_GB2312" w:hAnsi="Calibri" w:cs="仿宋_GB2312" w:hint="eastAsia"/>
                <w:kern w:val="0"/>
                <w:sz w:val="24"/>
              </w:rPr>
              <w:t>平方米；安装医院标识；购置医疗设备，开展信息化建设等。项目完成后可增加开放床位</w:t>
            </w:r>
            <w:r>
              <w:rPr>
                <w:rFonts w:ascii="仿宋_GB2312" w:eastAsia="仿宋_GB2312" w:hAnsi="Calibri" w:cs="仿宋_GB2312" w:hint="eastAsia"/>
                <w:kern w:val="0"/>
                <w:sz w:val="24"/>
              </w:rPr>
              <w:t>50</w:t>
            </w:r>
            <w:r>
              <w:rPr>
                <w:rFonts w:ascii="仿宋_GB2312" w:eastAsia="仿宋_GB2312" w:hAnsi="Calibri" w:cs="仿宋_GB2312" w:hint="eastAsia"/>
                <w:kern w:val="0"/>
                <w:sz w:val="24"/>
              </w:rPr>
              <w:t>张，一共开放床位可达</w:t>
            </w:r>
            <w:r>
              <w:rPr>
                <w:rFonts w:ascii="仿宋_GB2312" w:eastAsia="仿宋_GB2312" w:hAnsi="Calibri" w:cs="仿宋_GB2312" w:hint="eastAsia"/>
                <w:kern w:val="0"/>
                <w:sz w:val="24"/>
              </w:rPr>
              <w:t>200</w:t>
            </w:r>
            <w:r>
              <w:rPr>
                <w:rFonts w:ascii="仿宋_GB2312" w:eastAsia="仿宋_GB2312" w:hAnsi="Calibri" w:cs="仿宋_GB2312" w:hint="eastAsia"/>
                <w:kern w:val="0"/>
                <w:sz w:val="24"/>
              </w:rPr>
              <w:t>张。增加医疗设备一批，全面改善就医环境，提高整体工作质量和服务水平，增加儿童妇女医疗卫生服务能力，为当地妇女和儿童提供更为优质的服务。</w:t>
            </w:r>
          </w:p>
        </w:tc>
        <w:tc>
          <w:tcPr>
            <w:tcW w:w="1648"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7455</w:t>
            </w:r>
          </w:p>
        </w:tc>
        <w:tc>
          <w:tcPr>
            <w:tcW w:w="2126"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2022</w:t>
            </w:r>
            <w:r>
              <w:rPr>
                <w:rFonts w:ascii="仿宋" w:eastAsia="仿宋" w:hAnsi="仿宋" w:cs="仿宋_GB2312" w:hint="eastAsia"/>
                <w:kern w:val="0"/>
                <w:sz w:val="24"/>
              </w:rPr>
              <w:t>～</w:t>
            </w:r>
            <w:r>
              <w:rPr>
                <w:rFonts w:ascii="仿宋_GB2312" w:eastAsia="仿宋_GB2312" w:hAnsi="Calibri" w:cs="仿宋_GB2312" w:hint="eastAsia"/>
                <w:kern w:val="0"/>
                <w:sz w:val="24"/>
              </w:rPr>
              <w:t>2025</w:t>
            </w:r>
            <w:r>
              <w:rPr>
                <w:rFonts w:ascii="仿宋_GB2312" w:eastAsia="仿宋_GB2312" w:hAnsi="Calibri" w:cs="仿宋_GB2312" w:hint="eastAsia"/>
                <w:kern w:val="0"/>
                <w:sz w:val="24"/>
              </w:rPr>
              <w:t>年</w:t>
            </w:r>
          </w:p>
        </w:tc>
        <w:tc>
          <w:tcPr>
            <w:tcW w:w="1702"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全面完成并投入使用</w:t>
            </w:r>
          </w:p>
        </w:tc>
      </w:tr>
      <w:tr w:rsidR="00D70FB0">
        <w:trPr>
          <w:trHeight w:val="1075"/>
        </w:trPr>
        <w:tc>
          <w:tcPr>
            <w:tcW w:w="715" w:type="dxa"/>
            <w:tcMar>
              <w:top w:w="15" w:type="dxa"/>
              <w:left w:w="15" w:type="dxa"/>
              <w:right w:w="15" w:type="dxa"/>
            </w:tcMar>
            <w:vAlign w:val="center"/>
          </w:tcPr>
          <w:p w:rsidR="00D70FB0" w:rsidRDefault="00EE7950">
            <w:pPr>
              <w:widowControl/>
              <w:spacing w:line="320" w:lineRule="exact"/>
              <w:jc w:val="center"/>
              <w:textAlignment w:val="center"/>
              <w:rPr>
                <w:rFonts w:ascii="仿宋_GB2312" w:eastAsia="仿宋_GB2312" w:hAnsi="Calibri" w:cs="仿宋_GB2312"/>
                <w:kern w:val="0"/>
                <w:sz w:val="24"/>
              </w:rPr>
            </w:pPr>
            <w:r>
              <w:rPr>
                <w:rFonts w:ascii="仿宋_GB2312" w:eastAsia="仿宋_GB2312" w:hAnsi="Calibri" w:cs="仿宋_GB2312" w:hint="eastAsia"/>
                <w:kern w:val="0"/>
                <w:sz w:val="24"/>
              </w:rPr>
              <w:t>5</w:t>
            </w:r>
          </w:p>
        </w:tc>
        <w:tc>
          <w:tcPr>
            <w:tcW w:w="2702"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开平立</w:t>
            </w:r>
            <w:proofErr w:type="gramStart"/>
            <w:r>
              <w:rPr>
                <w:rFonts w:ascii="仿宋_GB2312" w:eastAsia="仿宋_GB2312" w:hAnsi="Calibri" w:cs="仿宋_GB2312" w:hint="eastAsia"/>
                <w:kern w:val="0"/>
                <w:sz w:val="24"/>
              </w:rPr>
              <w:t>群医院</w:t>
            </w:r>
            <w:proofErr w:type="gramEnd"/>
            <w:r>
              <w:rPr>
                <w:rFonts w:ascii="仿宋_GB2312" w:eastAsia="仿宋_GB2312" w:hAnsi="Calibri" w:cs="仿宋_GB2312" w:hint="eastAsia"/>
                <w:kern w:val="0"/>
                <w:sz w:val="24"/>
              </w:rPr>
              <w:t>有限公司新建医疗、养老院大楼、改造行政大楼项目</w:t>
            </w:r>
          </w:p>
        </w:tc>
        <w:tc>
          <w:tcPr>
            <w:tcW w:w="5015"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项目占地面积</w:t>
            </w:r>
            <w:r>
              <w:rPr>
                <w:rFonts w:ascii="仿宋_GB2312" w:eastAsia="仿宋_GB2312" w:hAnsi="Calibri" w:cs="仿宋_GB2312" w:hint="eastAsia"/>
                <w:kern w:val="0"/>
                <w:sz w:val="24"/>
              </w:rPr>
              <w:t>10285.8m</w:t>
            </w:r>
            <w:r>
              <w:rPr>
                <w:rFonts w:ascii="仿宋_GB2312" w:eastAsia="仿宋_GB2312" w:hAnsi="Calibri" w:cs="仿宋_GB2312"/>
                <w:kern w:val="0"/>
                <w:sz w:val="24"/>
                <w:vertAlign w:val="superscript"/>
              </w:rPr>
              <w:t>2</w:t>
            </w:r>
            <w:r>
              <w:rPr>
                <w:rFonts w:ascii="仿宋_GB2312" w:eastAsia="仿宋_GB2312" w:hAnsi="Calibri" w:cs="仿宋_GB2312" w:hint="eastAsia"/>
                <w:kern w:val="0"/>
                <w:sz w:val="24"/>
              </w:rPr>
              <w:t>，建筑面积</w:t>
            </w:r>
            <w:r>
              <w:rPr>
                <w:rFonts w:ascii="仿宋_GB2312" w:eastAsia="仿宋_GB2312" w:hAnsi="Calibri" w:cs="仿宋_GB2312" w:hint="eastAsia"/>
                <w:kern w:val="0"/>
                <w:sz w:val="24"/>
              </w:rPr>
              <w:t>41000m</w:t>
            </w:r>
            <w:r>
              <w:rPr>
                <w:rFonts w:ascii="仿宋_GB2312" w:eastAsia="仿宋_GB2312" w:hAnsi="Calibri" w:cs="仿宋_GB2312"/>
                <w:kern w:val="0"/>
                <w:sz w:val="24"/>
                <w:vertAlign w:val="superscript"/>
              </w:rPr>
              <w:t xml:space="preserve">2 </w:t>
            </w:r>
            <w:r>
              <w:rPr>
                <w:rFonts w:ascii="仿宋_GB2312" w:eastAsia="仿宋_GB2312" w:hAnsi="Calibri" w:cs="仿宋_GB2312" w:hint="eastAsia"/>
                <w:kern w:val="0"/>
                <w:sz w:val="24"/>
              </w:rPr>
              <w:t>(</w:t>
            </w:r>
            <w:r>
              <w:rPr>
                <w:rFonts w:ascii="仿宋_GB2312" w:eastAsia="仿宋_GB2312" w:hAnsi="Calibri" w:cs="仿宋_GB2312" w:hint="eastAsia"/>
                <w:kern w:val="0"/>
                <w:sz w:val="24"/>
              </w:rPr>
              <w:t>其中新建</w:t>
            </w:r>
            <w:r>
              <w:rPr>
                <w:rFonts w:ascii="仿宋_GB2312" w:eastAsia="仿宋_GB2312" w:hAnsi="Calibri" w:cs="仿宋_GB2312" w:hint="eastAsia"/>
                <w:kern w:val="0"/>
                <w:sz w:val="24"/>
              </w:rPr>
              <w:t>1</w:t>
            </w:r>
            <w:r>
              <w:rPr>
                <w:rFonts w:ascii="仿宋_GB2312" w:eastAsia="仿宋_GB2312" w:hAnsi="Calibri" w:cs="仿宋_GB2312" w:hint="eastAsia"/>
                <w:kern w:val="0"/>
                <w:sz w:val="24"/>
              </w:rPr>
              <w:t>栋建筑面积</w:t>
            </w:r>
            <w:r>
              <w:rPr>
                <w:rFonts w:ascii="仿宋_GB2312" w:eastAsia="仿宋_GB2312" w:hAnsi="Calibri" w:cs="仿宋_GB2312" w:hint="eastAsia"/>
                <w:kern w:val="0"/>
                <w:sz w:val="24"/>
              </w:rPr>
              <w:t>32800m</w:t>
            </w:r>
            <w:r>
              <w:rPr>
                <w:rFonts w:ascii="仿宋_GB2312" w:eastAsia="仿宋_GB2312" w:hAnsi="Calibri" w:cs="仿宋_GB2312"/>
                <w:kern w:val="0"/>
                <w:sz w:val="24"/>
                <w:vertAlign w:val="superscript"/>
              </w:rPr>
              <w:t>2</w:t>
            </w:r>
            <w:r>
              <w:rPr>
                <w:rFonts w:ascii="仿宋_GB2312" w:eastAsia="仿宋_GB2312" w:hAnsi="Calibri" w:cs="仿宋_GB2312" w:hint="eastAsia"/>
                <w:kern w:val="0"/>
                <w:sz w:val="24"/>
              </w:rPr>
              <w:t>的医疗养老大楼、</w:t>
            </w:r>
            <w:r>
              <w:rPr>
                <w:rFonts w:ascii="仿宋_GB2312" w:eastAsia="仿宋_GB2312" w:hAnsi="Calibri" w:cs="仿宋_GB2312" w:hint="eastAsia"/>
                <w:kern w:val="0"/>
                <w:sz w:val="24"/>
              </w:rPr>
              <w:t xml:space="preserve"> </w:t>
            </w:r>
            <w:r>
              <w:rPr>
                <w:rFonts w:ascii="仿宋_GB2312" w:eastAsia="仿宋_GB2312" w:hAnsi="Calibri" w:cs="仿宋_GB2312" w:hint="eastAsia"/>
                <w:kern w:val="0"/>
                <w:sz w:val="24"/>
              </w:rPr>
              <w:t>改造</w:t>
            </w:r>
            <w:r>
              <w:rPr>
                <w:rFonts w:ascii="仿宋_GB2312" w:eastAsia="仿宋_GB2312" w:hAnsi="Calibri" w:cs="仿宋_GB2312" w:hint="eastAsia"/>
                <w:kern w:val="0"/>
                <w:sz w:val="24"/>
              </w:rPr>
              <w:t>1</w:t>
            </w:r>
            <w:r>
              <w:rPr>
                <w:rFonts w:ascii="仿宋_GB2312" w:eastAsia="仿宋_GB2312" w:hAnsi="Calibri" w:cs="仿宋_GB2312" w:hint="eastAsia"/>
                <w:kern w:val="0"/>
                <w:sz w:val="24"/>
              </w:rPr>
              <w:t>栋面积</w:t>
            </w:r>
            <w:r>
              <w:rPr>
                <w:rFonts w:ascii="仿宋_GB2312" w:eastAsia="仿宋_GB2312" w:hAnsi="Calibri" w:cs="仿宋_GB2312" w:hint="eastAsia"/>
                <w:kern w:val="0"/>
                <w:sz w:val="24"/>
              </w:rPr>
              <w:t>7820m</w:t>
            </w:r>
            <w:r>
              <w:rPr>
                <w:rFonts w:ascii="仿宋_GB2312" w:eastAsia="仿宋_GB2312" w:hAnsi="Calibri" w:cs="仿宋_GB2312"/>
                <w:kern w:val="0"/>
                <w:sz w:val="24"/>
                <w:vertAlign w:val="superscript"/>
              </w:rPr>
              <w:t>2</w:t>
            </w:r>
            <w:r>
              <w:rPr>
                <w:rFonts w:ascii="仿宋_GB2312" w:eastAsia="仿宋_GB2312" w:hAnsi="Calibri" w:cs="仿宋_GB2312" w:hint="eastAsia"/>
                <w:kern w:val="0"/>
                <w:sz w:val="24"/>
              </w:rPr>
              <w:t>的行政大楼），建成医疗床位</w:t>
            </w:r>
            <w:r>
              <w:rPr>
                <w:rFonts w:ascii="仿宋_GB2312" w:eastAsia="仿宋_GB2312" w:hAnsi="Calibri" w:cs="仿宋_GB2312" w:hint="eastAsia"/>
                <w:kern w:val="0"/>
                <w:sz w:val="24"/>
              </w:rPr>
              <w:t>420</w:t>
            </w:r>
            <w:r>
              <w:rPr>
                <w:rFonts w:ascii="仿宋_GB2312" w:eastAsia="仿宋_GB2312" w:hAnsi="Calibri" w:cs="仿宋_GB2312" w:hint="eastAsia"/>
                <w:kern w:val="0"/>
                <w:sz w:val="24"/>
              </w:rPr>
              <w:t>张的二级综合性医院和床位</w:t>
            </w:r>
            <w:r>
              <w:rPr>
                <w:rFonts w:ascii="仿宋_GB2312" w:eastAsia="仿宋_GB2312" w:hAnsi="Calibri" w:cs="仿宋_GB2312" w:hint="eastAsia"/>
                <w:kern w:val="0"/>
                <w:sz w:val="24"/>
              </w:rPr>
              <w:t>220</w:t>
            </w:r>
            <w:r>
              <w:rPr>
                <w:rFonts w:ascii="仿宋_GB2312" w:eastAsia="仿宋_GB2312" w:hAnsi="Calibri" w:cs="仿宋_GB2312" w:hint="eastAsia"/>
                <w:kern w:val="0"/>
                <w:sz w:val="24"/>
              </w:rPr>
              <w:t>张的养老院，主要提供医疗、健康服务。购置</w:t>
            </w:r>
            <w:r>
              <w:rPr>
                <w:rFonts w:ascii="仿宋_GB2312" w:eastAsia="仿宋_GB2312" w:hAnsi="Calibri" w:cs="仿宋_GB2312" w:hint="eastAsia"/>
                <w:kern w:val="0"/>
                <w:sz w:val="24"/>
              </w:rPr>
              <w:t>CT</w:t>
            </w:r>
            <w:r>
              <w:rPr>
                <w:rFonts w:ascii="仿宋_GB2312" w:eastAsia="仿宋_GB2312" w:hAnsi="Calibri" w:cs="仿宋_GB2312" w:hint="eastAsia"/>
                <w:kern w:val="0"/>
                <w:sz w:val="24"/>
              </w:rPr>
              <w:t>、</w:t>
            </w:r>
            <w:r>
              <w:rPr>
                <w:rFonts w:ascii="仿宋_GB2312" w:eastAsia="仿宋_GB2312" w:hAnsi="Calibri" w:cs="仿宋_GB2312" w:hint="eastAsia"/>
                <w:kern w:val="0"/>
                <w:sz w:val="24"/>
              </w:rPr>
              <w:t>DR</w:t>
            </w:r>
            <w:r>
              <w:rPr>
                <w:rFonts w:ascii="仿宋_GB2312" w:eastAsia="仿宋_GB2312" w:hAnsi="Calibri" w:cs="仿宋_GB2312" w:hint="eastAsia"/>
                <w:kern w:val="0"/>
                <w:sz w:val="24"/>
              </w:rPr>
              <w:t>、</w:t>
            </w:r>
            <w:r>
              <w:rPr>
                <w:rFonts w:ascii="仿宋_GB2312" w:eastAsia="仿宋_GB2312" w:hAnsi="Calibri" w:cs="仿宋_GB2312" w:hint="eastAsia"/>
                <w:kern w:val="0"/>
                <w:sz w:val="24"/>
              </w:rPr>
              <w:t>MR</w:t>
            </w:r>
            <w:r>
              <w:rPr>
                <w:rFonts w:ascii="仿宋_GB2312" w:eastAsia="仿宋_GB2312" w:hAnsi="Calibri" w:cs="仿宋_GB2312" w:hint="eastAsia"/>
                <w:kern w:val="0"/>
                <w:sz w:val="24"/>
              </w:rPr>
              <w:t>、四维彩超等大型医疗设备，执行国家医疗行业服务规范。</w:t>
            </w:r>
          </w:p>
        </w:tc>
        <w:tc>
          <w:tcPr>
            <w:tcW w:w="1648" w:type="dxa"/>
            <w:tcMar>
              <w:top w:w="15" w:type="dxa"/>
              <w:left w:w="15" w:type="dxa"/>
              <w:right w:w="15" w:type="dxa"/>
            </w:tcMar>
            <w:vAlign w:val="center"/>
          </w:tcPr>
          <w:p w:rsidR="00D70FB0" w:rsidRDefault="00EE7950">
            <w:pPr>
              <w:widowControl/>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18500</w:t>
            </w:r>
          </w:p>
        </w:tc>
        <w:tc>
          <w:tcPr>
            <w:tcW w:w="2126"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2019</w:t>
            </w:r>
            <w:r>
              <w:rPr>
                <w:rFonts w:ascii="仿宋" w:eastAsia="仿宋" w:hAnsi="仿宋" w:cs="仿宋_GB2312" w:hint="eastAsia"/>
                <w:kern w:val="0"/>
                <w:sz w:val="24"/>
              </w:rPr>
              <w:t>～</w:t>
            </w:r>
            <w:r>
              <w:rPr>
                <w:rFonts w:ascii="仿宋_GB2312" w:eastAsia="仿宋_GB2312" w:hAnsi="Calibri" w:cs="仿宋_GB2312" w:hint="eastAsia"/>
                <w:kern w:val="0"/>
                <w:sz w:val="24"/>
              </w:rPr>
              <w:t>2022</w:t>
            </w:r>
            <w:r>
              <w:rPr>
                <w:rFonts w:ascii="仿宋_GB2312" w:eastAsia="仿宋_GB2312" w:hAnsi="Calibri" w:cs="仿宋_GB2312" w:hint="eastAsia"/>
                <w:kern w:val="0"/>
                <w:sz w:val="24"/>
              </w:rPr>
              <w:t>年</w:t>
            </w:r>
          </w:p>
        </w:tc>
        <w:tc>
          <w:tcPr>
            <w:tcW w:w="1702" w:type="dxa"/>
            <w:tcMar>
              <w:top w:w="15" w:type="dxa"/>
              <w:left w:w="15" w:type="dxa"/>
              <w:right w:w="15" w:type="dxa"/>
            </w:tcMar>
            <w:vAlign w:val="center"/>
          </w:tcPr>
          <w:p w:rsidR="00D70FB0" w:rsidRDefault="00EE7950">
            <w:pPr>
              <w:spacing w:line="320" w:lineRule="exact"/>
              <w:jc w:val="center"/>
              <w:rPr>
                <w:rFonts w:ascii="仿宋_GB2312" w:eastAsia="仿宋_GB2312" w:hAnsi="Calibri" w:cs="仿宋_GB2312"/>
                <w:kern w:val="0"/>
                <w:sz w:val="24"/>
              </w:rPr>
            </w:pPr>
            <w:r>
              <w:rPr>
                <w:rFonts w:ascii="仿宋_GB2312" w:eastAsia="仿宋_GB2312" w:hAnsi="Calibri" w:cs="仿宋_GB2312" w:hint="eastAsia"/>
                <w:kern w:val="0"/>
                <w:sz w:val="24"/>
              </w:rPr>
              <w:t>全面完成并投入使用</w:t>
            </w:r>
          </w:p>
        </w:tc>
      </w:tr>
    </w:tbl>
    <w:p w:rsidR="00D70FB0" w:rsidRDefault="00D70FB0">
      <w:pPr>
        <w:spacing w:line="560" w:lineRule="exact"/>
        <w:ind w:firstLineChars="200" w:firstLine="420"/>
        <w:jc w:val="left"/>
      </w:pPr>
    </w:p>
    <w:sectPr w:rsidR="00D70FB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50" w:rsidRDefault="00EE7950"/>
  </w:endnote>
  <w:endnote w:type="continuationSeparator" w:id="0">
    <w:p w:rsidR="00EE7950" w:rsidRDefault="00EE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B0" w:rsidRDefault="00D70FB0">
    <w:pPr>
      <w:pStyle w:val="a8"/>
      <w:jc w:val="center"/>
    </w:pPr>
  </w:p>
  <w:p w:rsidR="00D70FB0" w:rsidRDefault="00D70F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53715"/>
    </w:sdtPr>
    <w:sdtEndPr/>
    <w:sdtContent>
      <w:p w:rsidR="00D70FB0" w:rsidRDefault="00EE7950">
        <w:pPr>
          <w:pStyle w:val="a8"/>
          <w:jc w:val="center"/>
        </w:pPr>
        <w:r>
          <w:fldChar w:fldCharType="begin"/>
        </w:r>
        <w:r>
          <w:instrText>PAGE   \* MERGEFORMAT</w:instrText>
        </w:r>
        <w:r>
          <w:fldChar w:fldCharType="separate"/>
        </w:r>
        <w:r w:rsidR="00A30CAF" w:rsidRPr="00A30CAF">
          <w:rPr>
            <w:noProof/>
            <w:lang w:val="zh-CN"/>
          </w:rPr>
          <w:t>4</w:t>
        </w:r>
        <w:r>
          <w:rPr>
            <w:lang w:val="zh-CN"/>
          </w:rPr>
          <w:fldChar w:fldCharType="end"/>
        </w:r>
      </w:p>
    </w:sdtContent>
  </w:sdt>
  <w:p w:rsidR="00D70FB0" w:rsidRDefault="00D70FB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B0" w:rsidRDefault="00D70F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50" w:rsidRDefault="00EE7950"/>
  </w:footnote>
  <w:footnote w:type="continuationSeparator" w:id="0">
    <w:p w:rsidR="00EE7950" w:rsidRDefault="00EE79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5F1ADB"/>
    <w:multiLevelType w:val="singleLevel"/>
    <w:tmpl w:val="F85F1ADB"/>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7F3B"/>
    <w:rsid w:val="000174F8"/>
    <w:rsid w:val="00021D48"/>
    <w:rsid w:val="00023284"/>
    <w:rsid w:val="00023311"/>
    <w:rsid w:val="00025EDA"/>
    <w:rsid w:val="00027C34"/>
    <w:rsid w:val="0003620D"/>
    <w:rsid w:val="000420DE"/>
    <w:rsid w:val="000600FE"/>
    <w:rsid w:val="000602AE"/>
    <w:rsid w:val="0008748B"/>
    <w:rsid w:val="000A5B81"/>
    <w:rsid w:val="000D407F"/>
    <w:rsid w:val="000D5240"/>
    <w:rsid w:val="000E70E2"/>
    <w:rsid w:val="000F4790"/>
    <w:rsid w:val="00106FEE"/>
    <w:rsid w:val="00116FCF"/>
    <w:rsid w:val="00136A65"/>
    <w:rsid w:val="00195890"/>
    <w:rsid w:val="001A1E78"/>
    <w:rsid w:val="001A4D1E"/>
    <w:rsid w:val="001C5FEA"/>
    <w:rsid w:val="001F6F52"/>
    <w:rsid w:val="00200817"/>
    <w:rsid w:val="00201CE1"/>
    <w:rsid w:val="002237F5"/>
    <w:rsid w:val="002472D8"/>
    <w:rsid w:val="0025357F"/>
    <w:rsid w:val="00273C26"/>
    <w:rsid w:val="002A0ACB"/>
    <w:rsid w:val="002B344A"/>
    <w:rsid w:val="002C152C"/>
    <w:rsid w:val="002C69ED"/>
    <w:rsid w:val="002D57F1"/>
    <w:rsid w:val="002F78B9"/>
    <w:rsid w:val="002F7D0C"/>
    <w:rsid w:val="0031701E"/>
    <w:rsid w:val="00332A6F"/>
    <w:rsid w:val="003463D0"/>
    <w:rsid w:val="00371D26"/>
    <w:rsid w:val="003744A7"/>
    <w:rsid w:val="0038470C"/>
    <w:rsid w:val="00392570"/>
    <w:rsid w:val="003E3FDE"/>
    <w:rsid w:val="00447F3B"/>
    <w:rsid w:val="0045707E"/>
    <w:rsid w:val="004A5BAC"/>
    <w:rsid w:val="004C4BE5"/>
    <w:rsid w:val="004D1372"/>
    <w:rsid w:val="004D2915"/>
    <w:rsid w:val="005454A8"/>
    <w:rsid w:val="005605FD"/>
    <w:rsid w:val="0056587A"/>
    <w:rsid w:val="00573D0E"/>
    <w:rsid w:val="00576291"/>
    <w:rsid w:val="00595CFD"/>
    <w:rsid w:val="005B22F7"/>
    <w:rsid w:val="005B561F"/>
    <w:rsid w:val="005C1A0A"/>
    <w:rsid w:val="005E52F5"/>
    <w:rsid w:val="00601818"/>
    <w:rsid w:val="0062600D"/>
    <w:rsid w:val="006333D3"/>
    <w:rsid w:val="00665485"/>
    <w:rsid w:val="00666284"/>
    <w:rsid w:val="00681807"/>
    <w:rsid w:val="007164A8"/>
    <w:rsid w:val="007421B3"/>
    <w:rsid w:val="0074401B"/>
    <w:rsid w:val="00744A3E"/>
    <w:rsid w:val="00746836"/>
    <w:rsid w:val="007511A2"/>
    <w:rsid w:val="0078496E"/>
    <w:rsid w:val="00785DF4"/>
    <w:rsid w:val="007B054D"/>
    <w:rsid w:val="007B559F"/>
    <w:rsid w:val="007B5BFB"/>
    <w:rsid w:val="007B5FF5"/>
    <w:rsid w:val="007C4294"/>
    <w:rsid w:val="007E5EF5"/>
    <w:rsid w:val="00802209"/>
    <w:rsid w:val="00822E0F"/>
    <w:rsid w:val="00836F0F"/>
    <w:rsid w:val="00844699"/>
    <w:rsid w:val="008569D7"/>
    <w:rsid w:val="008606DD"/>
    <w:rsid w:val="008617B8"/>
    <w:rsid w:val="00880844"/>
    <w:rsid w:val="00896086"/>
    <w:rsid w:val="008A33DA"/>
    <w:rsid w:val="008B7B40"/>
    <w:rsid w:val="008E323D"/>
    <w:rsid w:val="00945D45"/>
    <w:rsid w:val="009679E0"/>
    <w:rsid w:val="00983F98"/>
    <w:rsid w:val="009A500D"/>
    <w:rsid w:val="009E1113"/>
    <w:rsid w:val="009E292B"/>
    <w:rsid w:val="009F7360"/>
    <w:rsid w:val="00A07C67"/>
    <w:rsid w:val="00A236F6"/>
    <w:rsid w:val="00A30CAF"/>
    <w:rsid w:val="00A805F9"/>
    <w:rsid w:val="00A8126E"/>
    <w:rsid w:val="00A8130F"/>
    <w:rsid w:val="00AD4778"/>
    <w:rsid w:val="00B0250B"/>
    <w:rsid w:val="00B12553"/>
    <w:rsid w:val="00B35D99"/>
    <w:rsid w:val="00B4543B"/>
    <w:rsid w:val="00B76E30"/>
    <w:rsid w:val="00B852DB"/>
    <w:rsid w:val="00B8617A"/>
    <w:rsid w:val="00BC26AF"/>
    <w:rsid w:val="00BE239E"/>
    <w:rsid w:val="00BF3D69"/>
    <w:rsid w:val="00C47D5E"/>
    <w:rsid w:val="00C71C52"/>
    <w:rsid w:val="00CA4EAC"/>
    <w:rsid w:val="00CB0809"/>
    <w:rsid w:val="00CB7189"/>
    <w:rsid w:val="00CE6896"/>
    <w:rsid w:val="00D10D7D"/>
    <w:rsid w:val="00D20002"/>
    <w:rsid w:val="00D355A6"/>
    <w:rsid w:val="00D478BA"/>
    <w:rsid w:val="00D62AD7"/>
    <w:rsid w:val="00D639F8"/>
    <w:rsid w:val="00D70FB0"/>
    <w:rsid w:val="00D731CF"/>
    <w:rsid w:val="00DE4E61"/>
    <w:rsid w:val="00DE6C06"/>
    <w:rsid w:val="00DF0088"/>
    <w:rsid w:val="00E02649"/>
    <w:rsid w:val="00E076BA"/>
    <w:rsid w:val="00E112DE"/>
    <w:rsid w:val="00E46A47"/>
    <w:rsid w:val="00E50E6C"/>
    <w:rsid w:val="00E515AF"/>
    <w:rsid w:val="00E61644"/>
    <w:rsid w:val="00E63ECF"/>
    <w:rsid w:val="00E863DC"/>
    <w:rsid w:val="00E971C4"/>
    <w:rsid w:val="00EB3969"/>
    <w:rsid w:val="00EE4FEC"/>
    <w:rsid w:val="00EE7950"/>
    <w:rsid w:val="00EF1034"/>
    <w:rsid w:val="00EF2041"/>
    <w:rsid w:val="00F112AB"/>
    <w:rsid w:val="00F2410A"/>
    <w:rsid w:val="00F40799"/>
    <w:rsid w:val="00F503AA"/>
    <w:rsid w:val="00F54814"/>
    <w:rsid w:val="00F7220A"/>
    <w:rsid w:val="00FB79DB"/>
    <w:rsid w:val="00FC6F7D"/>
    <w:rsid w:val="00FD7807"/>
    <w:rsid w:val="00FF0DD5"/>
    <w:rsid w:val="1BE17B35"/>
    <w:rsid w:val="22307795"/>
    <w:rsid w:val="26A40538"/>
    <w:rsid w:val="30987570"/>
    <w:rsid w:val="3CFC47E8"/>
    <w:rsid w:val="3ED00A02"/>
    <w:rsid w:val="43437FA6"/>
    <w:rsid w:val="4CA93B6D"/>
    <w:rsid w:val="4E1A4EAE"/>
    <w:rsid w:val="69E5602F"/>
    <w:rsid w:val="6EC3097A"/>
    <w:rsid w:val="770618C9"/>
    <w:rsid w:val="786C1A37"/>
    <w:rsid w:val="7CD10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line="300" w:lineRule="auto"/>
      <w:ind w:leftChars="100" w:left="100" w:rightChars="100" w:right="100"/>
      <w:jc w:val="center"/>
      <w:outlineLvl w:val="0"/>
    </w:pPr>
    <w:rPr>
      <w:rFonts w:ascii="Times New Roman" w:eastAsia="方正小标宋简体" w:hAnsi="Times New Roman" w:cs="Times New Roman"/>
      <w:b/>
      <w:bCs/>
      <w:kern w:val="44"/>
      <w:sz w:val="36"/>
      <w:szCs w:val="44"/>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cs="宋体"/>
      <w:b/>
      <w:sz w:val="32"/>
      <w:szCs w:val="24"/>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qFormat/>
    <w:pPr>
      <w:spacing w:line="580" w:lineRule="exact"/>
      <w:jc w:val="center"/>
    </w:pPr>
    <w:rPr>
      <w:rFonts w:ascii="Calibri" w:eastAsia="仿宋_GB2312" w:hAnsi="Calibri" w:cs="黑体"/>
      <w:sz w:val="32"/>
      <w:szCs w:val="24"/>
    </w:rPr>
  </w:style>
  <w:style w:type="paragraph" w:styleId="a5">
    <w:name w:val="Body Text Indent"/>
    <w:basedOn w:val="a"/>
    <w:link w:val="Char1"/>
    <w:qFormat/>
    <w:pPr>
      <w:spacing w:after="120" w:line="580" w:lineRule="exact"/>
      <w:ind w:leftChars="200" w:left="420"/>
      <w:jc w:val="left"/>
    </w:pPr>
    <w:rPr>
      <w:rFonts w:ascii="Calibri" w:eastAsia="仿宋_GB2312" w:hAnsi="Calibri" w:cs="黑体"/>
      <w:sz w:val="32"/>
    </w:rPr>
  </w:style>
  <w:style w:type="paragraph" w:styleId="30">
    <w:name w:val="toc 3"/>
    <w:basedOn w:val="a"/>
    <w:next w:val="a"/>
    <w:uiPriority w:val="39"/>
    <w:unhideWhenUsed/>
    <w:qFormat/>
    <w:pPr>
      <w:ind w:leftChars="400" w:left="840"/>
    </w:pPr>
  </w:style>
  <w:style w:type="paragraph" w:styleId="a6">
    <w:name w:val="Date"/>
    <w:basedOn w:val="a"/>
    <w:next w:val="a"/>
    <w:link w:val="Char2"/>
    <w:uiPriority w:val="99"/>
    <w:semiHidden/>
    <w:unhideWhenUsed/>
    <w:qFormat/>
    <w:pPr>
      <w:ind w:leftChars="2500" w:left="100"/>
    </w:pPr>
  </w:style>
  <w:style w:type="paragraph" w:styleId="a7">
    <w:name w:val="Balloon Text"/>
    <w:basedOn w:val="a"/>
    <w:link w:val="Char3"/>
    <w:uiPriority w:val="99"/>
    <w:semiHidden/>
    <w:unhideWhenUsed/>
    <w:qFormat/>
    <w:rPr>
      <w:sz w:val="18"/>
      <w:szCs w:val="18"/>
    </w:rPr>
  </w:style>
  <w:style w:type="paragraph" w:styleId="a8">
    <w:name w:val="footer"/>
    <w:basedOn w:val="a"/>
    <w:link w:val="Char4"/>
    <w:unhideWhenUsed/>
    <w:qFormat/>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580" w:lineRule="exact"/>
      <w:jc w:val="left"/>
    </w:pPr>
    <w:rPr>
      <w:rFonts w:ascii="Calibri" w:eastAsia="仿宋_GB2312" w:hAnsi="Calibri" w:cs="黑体"/>
      <w:sz w:val="32"/>
    </w:rPr>
  </w:style>
  <w:style w:type="paragraph" w:styleId="20">
    <w:name w:val="toc 2"/>
    <w:basedOn w:val="a"/>
    <w:next w:val="a"/>
    <w:uiPriority w:val="39"/>
    <w:qFormat/>
    <w:pPr>
      <w:spacing w:line="580" w:lineRule="exact"/>
      <w:ind w:leftChars="200" w:left="420"/>
      <w:jc w:val="left"/>
    </w:pPr>
    <w:rPr>
      <w:rFonts w:ascii="Calibri" w:eastAsia="仿宋_GB2312" w:hAnsi="Calibri" w:cs="黑体"/>
      <w:sz w:val="32"/>
    </w:rPr>
  </w:style>
  <w:style w:type="paragraph" w:styleId="aa">
    <w:name w:val="annotation subject"/>
    <w:basedOn w:val="a3"/>
    <w:next w:val="a3"/>
    <w:link w:val="Char6"/>
    <w:uiPriority w:val="99"/>
    <w:semiHidden/>
    <w:unhideWhenUsed/>
    <w:qFormat/>
    <w:rPr>
      <w:b/>
      <w:bCs/>
    </w:rPr>
  </w:style>
  <w:style w:type="paragraph" w:styleId="21">
    <w:name w:val="Body Text First Indent 2"/>
    <w:basedOn w:val="a5"/>
    <w:link w:val="2Char0"/>
    <w:qFormat/>
    <w:pPr>
      <w:ind w:firstLineChars="200" w:firstLine="420"/>
    </w:p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Char5">
    <w:name w:val="页眉 Char"/>
    <w:basedOn w:val="a0"/>
    <w:link w:val="a9"/>
    <w:qFormat/>
    <w:rPr>
      <w:sz w:val="18"/>
      <w:szCs w:val="18"/>
    </w:rPr>
  </w:style>
  <w:style w:type="character" w:customStyle="1" w:styleId="Char4">
    <w:name w:val="页脚 Char"/>
    <w:basedOn w:val="a0"/>
    <w:link w:val="a8"/>
    <w:qFormat/>
    <w:rPr>
      <w:sz w:val="18"/>
      <w:szCs w:val="18"/>
    </w:rPr>
  </w:style>
  <w:style w:type="character" w:customStyle="1" w:styleId="2Char">
    <w:name w:val="标题 2 Char"/>
    <w:basedOn w:val="a0"/>
    <w:link w:val="2"/>
    <w:uiPriority w:val="9"/>
    <w:qFormat/>
    <w:rPr>
      <w:rFonts w:ascii="Arial" w:eastAsia="黑体" w:hAnsi="Arial" w:cs="宋体"/>
      <w:b/>
      <w:sz w:val="32"/>
      <w:szCs w:val="24"/>
    </w:rPr>
  </w:style>
  <w:style w:type="character" w:customStyle="1" w:styleId="Char0">
    <w:name w:val="正文文本 Char"/>
    <w:basedOn w:val="a0"/>
    <w:link w:val="a4"/>
    <w:uiPriority w:val="99"/>
    <w:qFormat/>
    <w:rPr>
      <w:rFonts w:ascii="Calibri" w:eastAsia="仿宋_GB2312" w:hAnsi="Calibri" w:cs="黑体"/>
      <w:sz w:val="32"/>
      <w:szCs w:val="24"/>
    </w:rPr>
  </w:style>
  <w:style w:type="character" w:customStyle="1" w:styleId="Char1">
    <w:name w:val="正文文本缩进 Char"/>
    <w:basedOn w:val="a0"/>
    <w:link w:val="a5"/>
    <w:qFormat/>
    <w:rPr>
      <w:rFonts w:ascii="Calibri" w:eastAsia="仿宋_GB2312" w:hAnsi="Calibri" w:cs="黑体"/>
      <w:sz w:val="32"/>
    </w:rPr>
  </w:style>
  <w:style w:type="character" w:customStyle="1" w:styleId="2Char0">
    <w:name w:val="正文首行缩进 2 Char"/>
    <w:basedOn w:val="Char1"/>
    <w:link w:val="21"/>
    <w:qFormat/>
    <w:rPr>
      <w:rFonts w:ascii="Calibri" w:eastAsia="仿宋_GB2312" w:hAnsi="Calibri" w:cs="黑体"/>
      <w:sz w:val="32"/>
    </w:rPr>
  </w:style>
  <w:style w:type="character" w:customStyle="1" w:styleId="1Char">
    <w:name w:val="标题 1 Char"/>
    <w:basedOn w:val="a0"/>
    <w:link w:val="1"/>
    <w:uiPriority w:val="9"/>
    <w:qFormat/>
    <w:rPr>
      <w:rFonts w:ascii="Times New Roman" w:eastAsia="方正小标宋简体" w:hAnsi="Times New Roman" w:cs="Times New Roman"/>
      <w:b/>
      <w:bCs/>
      <w:kern w:val="44"/>
      <w:sz w:val="36"/>
      <w:szCs w:val="44"/>
    </w:rPr>
  </w:style>
  <w:style w:type="paragraph" w:customStyle="1" w:styleId="TOC1">
    <w:name w:val="TOC 标题1"/>
    <w:basedOn w:val="1"/>
    <w:next w:val="a"/>
    <w:uiPriority w:val="39"/>
    <w:semiHidden/>
    <w:unhideWhenUsed/>
    <w:qFormat/>
    <w:pPr>
      <w:widowControl/>
      <w:spacing w:before="480" w:line="276" w:lineRule="auto"/>
      <w:ind w:leftChars="0" w:left="0" w:rightChars="0" w:right="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批注框文本 Char"/>
    <w:basedOn w:val="a0"/>
    <w:link w:val="a7"/>
    <w:uiPriority w:val="99"/>
    <w:semiHidden/>
    <w:qFormat/>
    <w:rPr>
      <w:sz w:val="18"/>
      <w:szCs w:val="18"/>
    </w:rPr>
  </w:style>
  <w:style w:type="paragraph" w:customStyle="1" w:styleId="TOC11">
    <w:name w:val="TOC 标题11"/>
    <w:basedOn w:val="1"/>
    <w:next w:val="a"/>
    <w:uiPriority w:val="39"/>
    <w:unhideWhenUsed/>
    <w:qFormat/>
    <w:pPr>
      <w:widowControl/>
      <w:spacing w:before="240" w:line="259" w:lineRule="auto"/>
      <w:ind w:leftChars="0" w:left="0" w:rightChars="0" w:right="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3Char">
    <w:name w:val="标题 3 Char"/>
    <w:basedOn w:val="a0"/>
    <w:link w:val="3"/>
    <w:uiPriority w:val="9"/>
    <w:qFormat/>
    <w:rPr>
      <w:rFonts w:ascii="Calibri" w:eastAsia="宋体" w:hAnsi="Calibri" w:cs="宋体"/>
      <w:b/>
      <w:bCs/>
      <w:kern w:val="2"/>
      <w:sz w:val="32"/>
      <w:szCs w:val="32"/>
    </w:rPr>
  </w:style>
  <w:style w:type="paragraph" w:customStyle="1" w:styleId="NewNewNew">
    <w:name w:val="正文 New New New"/>
    <w:qFormat/>
    <w:pPr>
      <w:widowControl w:val="0"/>
      <w:jc w:val="both"/>
    </w:pPr>
    <w:rPr>
      <w:rFonts w:ascii="Times New Roman" w:eastAsia="宋体" w:hAnsi="Times New Roman" w:cs="Times New Roman"/>
      <w:szCs w:val="24"/>
    </w:rPr>
  </w:style>
  <w:style w:type="paragraph" w:customStyle="1" w:styleId="TOC2">
    <w:name w:val="TOC 标题2"/>
    <w:basedOn w:val="1"/>
    <w:next w:val="a"/>
    <w:uiPriority w:val="39"/>
    <w:unhideWhenUsed/>
    <w:qFormat/>
    <w:pPr>
      <w:widowControl/>
      <w:spacing w:before="240" w:line="259" w:lineRule="auto"/>
      <w:ind w:leftChars="0" w:left="0" w:rightChars="0" w:right="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2">
    <w:name w:val="日期 Char"/>
    <w:basedOn w:val="a0"/>
    <w:link w:val="a6"/>
    <w:uiPriority w:val="99"/>
    <w:semiHidden/>
    <w:rPr>
      <w:kern w:val="2"/>
      <w:sz w:val="21"/>
      <w:szCs w:val="22"/>
    </w:rPr>
  </w:style>
  <w:style w:type="character" w:customStyle="1" w:styleId="Char">
    <w:name w:val="批注文字 Char"/>
    <w:basedOn w:val="a0"/>
    <w:link w:val="a3"/>
    <w:uiPriority w:val="99"/>
    <w:semiHidden/>
    <w:rPr>
      <w:kern w:val="2"/>
      <w:sz w:val="21"/>
      <w:szCs w:val="22"/>
    </w:rPr>
  </w:style>
  <w:style w:type="character" w:customStyle="1" w:styleId="Char6">
    <w:name w:val="批注主题 Char"/>
    <w:basedOn w:val="Char"/>
    <w:link w:val="aa"/>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DEA61-0B56-438B-87C9-7FAA64E0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4374</Words>
  <Characters>24936</Characters>
  <Application>Microsoft Office Word</Application>
  <DocSecurity>0</DocSecurity>
  <Lines>207</Lines>
  <Paragraphs>58</Paragraphs>
  <ScaleCrop>false</ScaleCrop>
  <Company>MS</Company>
  <LinksUpToDate>false</LinksUpToDate>
  <CharactersWithSpaces>29252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黄燕秋</dc:creator>
  <cp:lastModifiedBy>劳伟新</cp:lastModifiedBy>
  <cp:revision>12</cp:revision>
  <dcterms:created xsi:type="dcterms:W3CDTF">2021-11-16T05:28:00Z</dcterms:created>
  <dcterms:modified xsi:type="dcterms:W3CDTF">2021-11-22T07:22:00Z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93E65599F06144A69C187CFB2281D3B6</vt:lpwstr>
  </property>
</Properties>
</file>