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13"/>
        <w:spacing w:before="120"/>
        <w:outlineLvl w:val="9"/>
        <w:rPr>
          <w:color w:val="auto"/>
          <w:sz w:val="36"/>
          <w:szCs w:val="36"/>
          <w:highlight w:val="none"/>
        </w:rPr>
      </w:pPr>
      <w:r>
        <w:rPr>
          <w:rFonts w:hint="eastAsia"/>
          <w:color w:val="auto"/>
          <w:sz w:val="36"/>
          <w:szCs w:val="36"/>
          <w:highlight w:val="none"/>
        </w:rPr>
        <w:t>开平市医疗保障事业发展“十四五”规划</w:t>
      </w:r>
    </w:p>
    <w:p>
      <w:pPr>
        <w:spacing w:line="276" w:lineRule="auto"/>
        <w:jc w:val="center"/>
        <w:rPr>
          <w:rFonts w:ascii="宋体" w:hAnsi="宋体" w:eastAsia="宋体" w:cs="宋体"/>
          <w:b/>
          <w:color w:val="auto"/>
          <w:sz w:val="32"/>
          <w:szCs w:val="28"/>
          <w:highlight w:val="none"/>
        </w:rPr>
      </w:pPr>
      <w:r>
        <w:rPr>
          <w:rFonts w:ascii="宋体" w:hAnsi="宋体" w:eastAsia="宋体" w:cs="宋体"/>
          <w:b/>
          <w:color w:val="auto"/>
          <w:sz w:val="32"/>
          <w:szCs w:val="28"/>
          <w:highlight w:val="none"/>
        </w:rPr>
        <w:t>（</w:t>
      </w:r>
      <w:r>
        <w:rPr>
          <w:rFonts w:hint="eastAsia" w:ascii="宋体" w:hAnsi="宋体" w:eastAsia="宋体" w:cs="宋体"/>
          <w:b/>
          <w:color w:val="auto"/>
          <w:sz w:val="32"/>
          <w:szCs w:val="28"/>
          <w:highlight w:val="none"/>
        </w:rPr>
        <w:t>公开征求意见稿）</w:t>
      </w:r>
    </w:p>
    <w:p>
      <w:pPr>
        <w:pStyle w:val="2"/>
        <w:rPr>
          <w:color w:val="auto"/>
          <w:highlight w:val="none"/>
        </w:rPr>
      </w:pPr>
      <w:bookmarkStart w:id="21" w:name="_GoBack"/>
      <w:bookmarkEnd w:id="21"/>
    </w:p>
    <w:p>
      <w:pPr>
        <w:pStyle w:val="2"/>
        <w:rPr>
          <w:color w:val="auto"/>
          <w:highlight w:val="none"/>
        </w:rPr>
      </w:pPr>
    </w:p>
    <w:p>
      <w:pPr>
        <w:ind w:firstLine="880"/>
        <w:rPr>
          <w:color w:val="auto"/>
          <w:sz w:val="44"/>
          <w:szCs w:val="44"/>
          <w:highlight w:val="none"/>
        </w:rPr>
      </w:pPr>
    </w:p>
    <w:p>
      <w:pPr>
        <w:pStyle w:val="2"/>
        <w:rPr>
          <w:color w:val="auto"/>
          <w:highlight w:val="none"/>
        </w:rPr>
      </w:pPr>
    </w:p>
    <w:p>
      <w:pPr>
        <w:pStyle w:val="2"/>
        <w:jc w:val="center"/>
        <w:rPr>
          <w:color w:val="auto"/>
          <w:sz w:val="32"/>
          <w:szCs w:val="32"/>
          <w:highlight w:val="none"/>
        </w:rPr>
      </w:pPr>
      <w:r>
        <w:rPr>
          <w:rFonts w:hint="eastAsia"/>
          <w:color w:val="auto"/>
          <w:sz w:val="32"/>
          <w:szCs w:val="32"/>
          <w:highlight w:val="none"/>
        </w:rPr>
        <w:t>2021年月日</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2"/>
        <w:rPr>
          <w:rFonts w:asciiTheme="minorHAnsi" w:hAnsiTheme="minorHAnsi" w:eastAsiaTheme="minorEastAsia" w:cstheme="minorBidi"/>
          <w:color w:val="auto"/>
          <w:kern w:val="2"/>
          <w:sz w:val="21"/>
          <w:szCs w:val="24"/>
          <w:highlight w:val="none"/>
          <w:lang w:val="zh-CN"/>
        </w:rPr>
        <w:sectPr>
          <w:pgSz w:w="11906" w:h="16838"/>
          <w:pgMar w:top="1701" w:right="1474" w:bottom="1134" w:left="1587" w:header="851" w:footer="992" w:gutter="0"/>
          <w:cols w:space="425" w:num="1"/>
          <w:titlePg/>
          <w:docGrid w:type="lines" w:linePitch="312" w:charSpace="0"/>
        </w:sectPr>
      </w:pPr>
    </w:p>
    <w:sdt>
      <w:sdtPr>
        <w:rPr>
          <w:rFonts w:asciiTheme="minorHAnsi" w:hAnsiTheme="minorHAnsi" w:eastAsiaTheme="minorEastAsia" w:cstheme="minorBidi"/>
          <w:color w:val="auto"/>
          <w:kern w:val="2"/>
          <w:sz w:val="21"/>
          <w:szCs w:val="24"/>
          <w:highlight w:val="none"/>
          <w:lang w:val="zh-CN"/>
        </w:rPr>
        <w:id w:val="-250891422"/>
        <w:docPartObj>
          <w:docPartGallery w:val="Table of Contents"/>
          <w:docPartUnique/>
        </w:docPartObj>
      </w:sdtPr>
      <w:sdtEndPr>
        <w:rPr>
          <w:rFonts w:asciiTheme="minorHAnsi" w:hAnsiTheme="minorHAnsi" w:eastAsiaTheme="minorEastAsia" w:cstheme="minorBidi"/>
          <w:b/>
          <w:bCs/>
          <w:color w:val="auto"/>
          <w:kern w:val="2"/>
          <w:sz w:val="21"/>
          <w:szCs w:val="24"/>
          <w:highlight w:val="none"/>
          <w:lang w:val="zh-CN"/>
        </w:rPr>
      </w:sdtEndPr>
      <w:sdtContent>
        <w:p>
          <w:pPr>
            <w:pStyle w:val="32"/>
            <w:jc w:val="center"/>
            <w:rPr>
              <w:b/>
              <w:bCs/>
              <w:color w:val="auto"/>
              <w:sz w:val="40"/>
              <w:szCs w:val="40"/>
              <w:highlight w:val="none"/>
            </w:rPr>
          </w:pPr>
          <w:r>
            <w:rPr>
              <w:b/>
              <w:bCs/>
              <w:color w:val="auto"/>
              <w:sz w:val="40"/>
              <w:szCs w:val="40"/>
              <w:highlight w:val="none"/>
              <w:lang w:val="zh-CN"/>
            </w:rPr>
            <w:t>目录</w:t>
          </w:r>
        </w:p>
        <w:p>
          <w:pPr>
            <w:pStyle w:val="12"/>
            <w:tabs>
              <w:tab w:val="right" w:leader="dot" w:pos="8296"/>
            </w:tabs>
            <w:spacing w:line="400" w:lineRule="atLeast"/>
            <w:ind w:left="0" w:leftChars="0"/>
            <w:rPr>
              <w:rFonts w:ascii="仿宋" w:hAnsi="仿宋" w:eastAsia="仿宋"/>
              <w:color w:val="auto"/>
              <w:sz w:val="28"/>
              <w:szCs w:val="28"/>
              <w:highlight w:val="none"/>
            </w:rPr>
          </w:pP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TOC \o "1-3" \h \z \u </w:instrText>
          </w:r>
          <w:r>
            <w:rPr>
              <w:rFonts w:ascii="仿宋" w:hAnsi="仿宋" w:eastAsia="仿宋"/>
              <w:color w:val="auto"/>
              <w:sz w:val="28"/>
              <w:szCs w:val="28"/>
              <w:highlight w:val="none"/>
            </w:rPr>
            <w:fldChar w:fldCharType="separate"/>
          </w:r>
          <w:r>
            <w:rPr>
              <w:color w:val="auto"/>
              <w:highlight w:val="none"/>
            </w:rPr>
            <w:fldChar w:fldCharType="begin"/>
          </w:r>
          <w:r>
            <w:rPr>
              <w:color w:val="auto"/>
              <w:highlight w:val="none"/>
            </w:rPr>
            <w:instrText xml:space="preserve"> HYPERLINK \l "_Toc52721331" </w:instrText>
          </w:r>
          <w:r>
            <w:rPr>
              <w:color w:val="auto"/>
              <w:highlight w:val="none"/>
            </w:rPr>
            <w:fldChar w:fldCharType="separate"/>
          </w:r>
          <w:r>
            <w:rPr>
              <w:rStyle w:val="19"/>
              <w:rFonts w:ascii="仿宋" w:hAnsi="仿宋" w:eastAsia="仿宋" w:cs="黑体"/>
              <w:color w:val="auto"/>
              <w:sz w:val="28"/>
              <w:szCs w:val="28"/>
              <w:highlight w:val="none"/>
            </w:rPr>
            <w:t>一、发展基础和面临的形势</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"_Toc52721332" </w:instrText>
          </w:r>
          <w:r>
            <w:rPr>
              <w:color w:val="auto"/>
              <w:highlight w:val="none"/>
            </w:rPr>
            <w:fldChar w:fldCharType="separate"/>
          </w:r>
          <w:r>
            <w:rPr>
              <w:rStyle w:val="19"/>
              <w:rFonts w:ascii="仿宋" w:hAnsi="仿宋" w:eastAsia="仿宋" w:cs="宋体"/>
              <w:color w:val="auto"/>
              <w:sz w:val="28"/>
              <w:szCs w:val="28"/>
              <w:highlight w:val="none"/>
            </w:rPr>
            <w:t>（一）发展基础</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_Toc52721332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"_Toc52721333" </w:instrText>
          </w:r>
          <w:r>
            <w:rPr>
              <w:color w:val="auto"/>
              <w:highlight w:val="none"/>
            </w:rPr>
            <w:fldChar w:fldCharType="separate"/>
          </w:r>
          <w:r>
            <w:rPr>
              <w:rStyle w:val="19"/>
              <w:rFonts w:ascii="仿宋" w:hAnsi="仿宋" w:eastAsia="仿宋" w:cs="宋体"/>
              <w:color w:val="auto"/>
              <w:sz w:val="28"/>
              <w:szCs w:val="28"/>
              <w:highlight w:val="none"/>
            </w:rPr>
            <w:t>（二）发展机遇</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"_Toc52721334" </w:instrText>
          </w:r>
          <w:r>
            <w:rPr>
              <w:color w:val="auto"/>
              <w:highlight w:val="none"/>
            </w:rPr>
            <w:fldChar w:fldCharType="separate"/>
          </w:r>
          <w:r>
            <w:rPr>
              <w:rStyle w:val="19"/>
              <w:rFonts w:ascii="仿宋" w:hAnsi="仿宋" w:eastAsia="仿宋" w:cs="宋体"/>
              <w:color w:val="auto"/>
              <w:sz w:val="28"/>
              <w:szCs w:val="28"/>
              <w:highlight w:val="none"/>
            </w:rPr>
            <w:t>（三）面临的挑战</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11"/>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"_Toc52721335" </w:instrText>
          </w:r>
          <w:r>
            <w:rPr>
              <w:color w:val="auto"/>
              <w:highlight w:val="none"/>
            </w:rPr>
            <w:fldChar w:fldCharType="separate"/>
          </w:r>
          <w:r>
            <w:rPr>
              <w:rStyle w:val="19"/>
              <w:rFonts w:ascii="仿宋" w:hAnsi="仿宋" w:eastAsia="仿宋"/>
              <w:color w:val="auto"/>
              <w:sz w:val="28"/>
              <w:szCs w:val="28"/>
              <w:highlight w:val="none"/>
            </w:rPr>
            <w:t>二、总体要求</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8</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"_Toc52721336" </w:instrText>
          </w:r>
          <w:r>
            <w:rPr>
              <w:color w:val="auto"/>
              <w:highlight w:val="none"/>
            </w:rPr>
            <w:fldChar w:fldCharType="separate"/>
          </w:r>
          <w:r>
            <w:rPr>
              <w:rStyle w:val="19"/>
              <w:rFonts w:ascii="仿宋" w:hAnsi="仿宋" w:eastAsia="仿宋" w:cs="宋体"/>
              <w:color w:val="auto"/>
              <w:sz w:val="28"/>
              <w:szCs w:val="28"/>
              <w:highlight w:val="none"/>
            </w:rPr>
            <w:t>（一）指导思想</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8</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"_Toc52721337" </w:instrText>
          </w:r>
          <w:r>
            <w:rPr>
              <w:color w:val="auto"/>
              <w:highlight w:val="none"/>
            </w:rPr>
            <w:fldChar w:fldCharType="separate"/>
          </w:r>
          <w:r>
            <w:rPr>
              <w:rStyle w:val="19"/>
              <w:rFonts w:ascii="仿宋" w:hAnsi="仿宋" w:eastAsia="仿宋" w:cs="宋体"/>
              <w:color w:val="auto"/>
              <w:sz w:val="28"/>
              <w:szCs w:val="28"/>
              <w:highlight w:val="none"/>
            </w:rPr>
            <w:t>（二）基本原则</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_Toc52721337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9</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"_Toc52721338" </w:instrText>
          </w:r>
          <w:r>
            <w:rPr>
              <w:color w:val="auto"/>
              <w:highlight w:val="none"/>
            </w:rPr>
            <w:fldChar w:fldCharType="separate"/>
          </w:r>
          <w:r>
            <w:rPr>
              <w:rStyle w:val="19"/>
              <w:rFonts w:ascii="仿宋" w:hAnsi="仿宋" w:eastAsia="仿宋" w:cs="宋体"/>
              <w:color w:val="auto"/>
              <w:sz w:val="28"/>
              <w:szCs w:val="28"/>
              <w:highlight w:val="none"/>
            </w:rPr>
            <w:t>（三）主要目标</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_Toc52721338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10</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"_Toc52721339" </w:instrText>
          </w:r>
          <w:r>
            <w:rPr>
              <w:color w:val="auto"/>
              <w:highlight w:val="none"/>
            </w:rPr>
            <w:fldChar w:fldCharType="separate"/>
          </w:r>
          <w:r>
            <w:rPr>
              <w:rStyle w:val="19"/>
              <w:rFonts w:ascii="仿宋" w:hAnsi="仿宋" w:eastAsia="仿宋" w:cs="宋体"/>
              <w:color w:val="auto"/>
              <w:sz w:val="28"/>
              <w:szCs w:val="28"/>
              <w:highlight w:val="none"/>
            </w:rPr>
            <w:t>（四）关键指标</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_Toc52721339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12"/>
            <w:tabs>
              <w:tab w:val="right" w:leader="dot" w:pos="8296"/>
            </w:tabs>
            <w:spacing w:line="400" w:lineRule="atLeast"/>
            <w:ind w:left="0" w:leftChars="0"/>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"_Toc52721340" </w:instrText>
          </w:r>
          <w:r>
            <w:rPr>
              <w:color w:val="auto"/>
              <w:highlight w:val="none"/>
            </w:rPr>
            <w:fldChar w:fldCharType="separate"/>
          </w:r>
          <w:r>
            <w:rPr>
              <w:rStyle w:val="19"/>
              <w:rFonts w:ascii="仿宋" w:hAnsi="仿宋" w:eastAsia="仿宋" w:cs="黑体"/>
              <w:color w:val="auto"/>
              <w:sz w:val="28"/>
              <w:szCs w:val="28"/>
              <w:highlight w:val="none"/>
            </w:rPr>
            <w:t>三、重点任务</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_Toc52721340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"_Toc52721341" </w:instrText>
          </w:r>
          <w:r>
            <w:rPr>
              <w:color w:val="auto"/>
              <w:highlight w:val="none"/>
            </w:rPr>
            <w:fldChar w:fldCharType="separate"/>
          </w:r>
          <w:r>
            <w:rPr>
              <w:rStyle w:val="19"/>
              <w:rFonts w:ascii="仿宋" w:hAnsi="仿宋" w:eastAsia="仿宋" w:cs="宋体"/>
              <w:color w:val="auto"/>
              <w:sz w:val="28"/>
              <w:szCs w:val="28"/>
              <w:highlight w:val="none"/>
            </w:rPr>
            <w:t>（一）完善医疗保障待遇机制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"_Toc52721342" </w:instrText>
          </w:r>
          <w:r>
            <w:rPr>
              <w:color w:val="auto"/>
              <w:highlight w:val="none"/>
            </w:rPr>
            <w:fldChar w:fldCharType="separate"/>
          </w:r>
          <w:r>
            <w:rPr>
              <w:rStyle w:val="19"/>
              <w:rFonts w:ascii="仿宋" w:hAnsi="仿宋" w:eastAsia="仿宋" w:cs="宋体"/>
              <w:color w:val="auto"/>
              <w:sz w:val="28"/>
              <w:szCs w:val="28"/>
              <w:highlight w:val="none"/>
            </w:rPr>
            <w:t>（二）健全稳健可持续的筹资运行机制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_Toc52721342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19</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"_Toc52721343" </w:instrText>
          </w:r>
          <w:r>
            <w:rPr>
              <w:color w:val="auto"/>
              <w:highlight w:val="none"/>
            </w:rPr>
            <w:fldChar w:fldCharType="separate"/>
          </w:r>
          <w:r>
            <w:rPr>
              <w:rStyle w:val="19"/>
              <w:rFonts w:ascii="仿宋" w:hAnsi="仿宋" w:eastAsia="仿宋" w:cs="宋体"/>
              <w:color w:val="auto"/>
              <w:sz w:val="28"/>
              <w:szCs w:val="28"/>
              <w:highlight w:val="none"/>
            </w:rPr>
            <w:t>（三）建立管用高效的医保支付机制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20</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"_Toc52721344" </w:instrText>
          </w:r>
          <w:r>
            <w:rPr>
              <w:color w:val="auto"/>
              <w:highlight w:val="none"/>
            </w:rPr>
            <w:fldChar w:fldCharType="separate"/>
          </w:r>
          <w:r>
            <w:rPr>
              <w:rStyle w:val="19"/>
              <w:rFonts w:ascii="仿宋" w:hAnsi="仿宋" w:eastAsia="仿宋" w:cs="宋体"/>
              <w:color w:val="auto"/>
              <w:sz w:val="28"/>
              <w:szCs w:val="28"/>
              <w:highlight w:val="none"/>
            </w:rPr>
            <w:t>（四）健全严密有力的基金监管机制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"_Toc52721345" </w:instrText>
          </w:r>
          <w:r>
            <w:rPr>
              <w:color w:val="auto"/>
              <w:highlight w:val="none"/>
            </w:rPr>
            <w:fldChar w:fldCharType="separate"/>
          </w:r>
          <w:r>
            <w:rPr>
              <w:rStyle w:val="19"/>
              <w:rFonts w:ascii="仿宋" w:hAnsi="仿宋" w:eastAsia="仿宋" w:cs="宋体"/>
              <w:color w:val="auto"/>
              <w:sz w:val="28"/>
              <w:szCs w:val="28"/>
              <w:highlight w:val="none"/>
            </w:rPr>
            <w:t>（五）协同推进医药服务供给侧改革</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"_Toc52721346" </w:instrText>
          </w:r>
          <w:r>
            <w:rPr>
              <w:color w:val="auto"/>
              <w:highlight w:val="none"/>
            </w:rPr>
            <w:fldChar w:fldCharType="separate"/>
          </w:r>
          <w:r>
            <w:rPr>
              <w:rStyle w:val="19"/>
              <w:rFonts w:ascii="仿宋" w:hAnsi="仿宋" w:eastAsia="仿宋" w:cs="宋体"/>
              <w:color w:val="auto"/>
              <w:sz w:val="28"/>
              <w:szCs w:val="28"/>
              <w:highlight w:val="none"/>
            </w:rPr>
            <w:t>（六）优化医疗保障公共管理服务</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29</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12"/>
            <w:tabs>
              <w:tab w:val="right" w:leader="dot" w:pos="8296"/>
            </w:tabs>
            <w:spacing w:line="400" w:lineRule="atLeast"/>
            <w:ind w:left="0" w:leftChars="0"/>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"_Toc52721348" </w:instrText>
          </w:r>
          <w:r>
            <w:rPr>
              <w:color w:val="auto"/>
              <w:highlight w:val="none"/>
            </w:rPr>
            <w:fldChar w:fldCharType="separate"/>
          </w:r>
          <w:r>
            <w:rPr>
              <w:rStyle w:val="19"/>
              <w:rFonts w:ascii="仿宋" w:hAnsi="仿宋" w:eastAsia="仿宋" w:cs="黑体"/>
              <w:color w:val="auto"/>
              <w:sz w:val="28"/>
              <w:szCs w:val="28"/>
              <w:highlight w:val="none"/>
            </w:rPr>
            <w:t>四、保障措施</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_Toc52721348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"_Toc52721349" </w:instrText>
          </w:r>
          <w:r>
            <w:rPr>
              <w:color w:val="auto"/>
              <w:highlight w:val="none"/>
            </w:rPr>
            <w:fldChar w:fldCharType="separate"/>
          </w:r>
          <w:r>
            <w:rPr>
              <w:rStyle w:val="19"/>
              <w:rFonts w:ascii="仿宋" w:hAnsi="仿宋" w:eastAsia="仿宋" w:cs="宋体"/>
              <w:color w:val="auto"/>
              <w:sz w:val="28"/>
              <w:szCs w:val="28"/>
              <w:highlight w:val="none"/>
            </w:rPr>
            <w:t>（一）法制保障</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_Toc52721349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"_Toc52721350" </w:instrText>
          </w:r>
          <w:r>
            <w:rPr>
              <w:color w:val="auto"/>
              <w:highlight w:val="none"/>
            </w:rPr>
            <w:fldChar w:fldCharType="separate"/>
          </w:r>
          <w:r>
            <w:rPr>
              <w:rStyle w:val="19"/>
              <w:rFonts w:ascii="仿宋" w:hAnsi="仿宋" w:eastAsia="仿宋" w:cs="宋体"/>
              <w:color w:val="auto"/>
              <w:sz w:val="28"/>
              <w:szCs w:val="28"/>
              <w:highlight w:val="none"/>
            </w:rPr>
            <w:t>（二）组织保障</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_Toc52721350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7"/>
            <w:tabs>
              <w:tab w:val="right" w:leader="dot" w:pos="8296"/>
            </w:tabs>
            <w:spacing w:line="400" w:lineRule="atLeast"/>
            <w:rPr>
              <w:color w:val="auto"/>
              <w:highlight w:val="none"/>
            </w:rPr>
          </w:pPr>
          <w:r>
            <w:rPr>
              <w:color w:val="auto"/>
              <w:highlight w:val="none"/>
            </w:rPr>
            <w:fldChar w:fldCharType="begin"/>
          </w:r>
          <w:r>
            <w:rPr>
              <w:color w:val="auto"/>
              <w:highlight w:val="none"/>
            </w:rPr>
            <w:instrText xml:space="preserve"> HYPERLINK \l "_Toc52721351" </w:instrText>
          </w:r>
          <w:r>
            <w:rPr>
              <w:color w:val="auto"/>
              <w:highlight w:val="none"/>
            </w:rPr>
            <w:fldChar w:fldCharType="separate"/>
          </w:r>
          <w:r>
            <w:rPr>
              <w:rStyle w:val="19"/>
              <w:rFonts w:ascii="仿宋" w:hAnsi="仿宋" w:eastAsia="仿宋" w:cs="宋体"/>
              <w:color w:val="auto"/>
              <w:sz w:val="28"/>
              <w:szCs w:val="28"/>
              <w:highlight w:val="none"/>
            </w:rPr>
            <w:t>（三）能力保障</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_Toc52721351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r>
            <w:rPr>
              <w:rFonts w:ascii="仿宋" w:hAnsi="仿宋" w:eastAsia="仿宋"/>
              <w:color w:val="auto"/>
              <w:sz w:val="28"/>
              <w:szCs w:val="28"/>
              <w:highlight w:val="none"/>
              <w:lang w:val="zh-CN"/>
            </w:rPr>
            <w:fldChar w:fldCharType="end"/>
          </w:r>
        </w:p>
      </w:sdtContent>
    </w:sdt>
    <w:p>
      <w:pPr>
        <w:pStyle w:val="2"/>
        <w:rPr>
          <w:color w:val="auto"/>
          <w:highlight w:val="none"/>
        </w:rPr>
        <w:sectPr>
          <w:footerReference r:id="rId4" w:type="first"/>
          <w:footerReference r:id="rId3" w:type="default"/>
          <w:pgSz w:w="11906" w:h="16838"/>
          <w:pgMar w:top="1701" w:right="1474" w:bottom="1134" w:left="1587" w:header="851" w:footer="992" w:gutter="0"/>
          <w:cols w:space="425" w:num="1"/>
          <w:docGrid w:type="lines" w:linePitch="312" w:charSpace="0"/>
        </w:sectPr>
      </w:pPr>
    </w:p>
    <w:p>
      <w:pPr>
        <w:pStyle w:val="4"/>
        <w:spacing w:line="276" w:lineRule="auto"/>
        <w:ind w:firstLine="643"/>
        <w:jc w:val="center"/>
        <w:rPr>
          <w:rStyle w:val="18"/>
          <w:rFonts w:ascii="宋体" w:hAnsi="宋体" w:eastAsia="宋体" w:cs="黑体"/>
          <w:b/>
          <w:color w:val="auto"/>
          <w:highlight w:val="none"/>
        </w:rPr>
      </w:pPr>
      <w:bookmarkStart w:id="0" w:name="_Toc52721331"/>
    </w:p>
    <w:p>
      <w:pPr>
        <w:pStyle w:val="4"/>
        <w:spacing w:line="276" w:lineRule="auto"/>
        <w:ind w:firstLine="643"/>
        <w:jc w:val="center"/>
        <w:rPr>
          <w:rStyle w:val="18"/>
          <w:rFonts w:ascii="宋体" w:hAnsi="宋体" w:eastAsia="宋体" w:cs="黑体"/>
          <w:b/>
          <w:color w:val="auto"/>
          <w:highlight w:val="none"/>
        </w:rPr>
      </w:pPr>
      <w:r>
        <w:rPr>
          <w:rStyle w:val="18"/>
          <w:rFonts w:hint="eastAsia" w:ascii="宋体" w:hAnsi="宋体" w:eastAsia="宋体" w:cs="黑体"/>
          <w:b/>
          <w:color w:val="auto"/>
          <w:highlight w:val="none"/>
        </w:rPr>
        <w:t>一、发展基础和面临的形势</w:t>
      </w:r>
      <w:bookmarkEnd w:id="0"/>
    </w:p>
    <w:p>
      <w:pPr>
        <w:pStyle w:val="5"/>
        <w:spacing w:before="140" w:after="20" w:line="400" w:lineRule="atLeast"/>
        <w:ind w:firstLine="562" w:firstLineChars="200"/>
        <w:jc w:val="left"/>
        <w:rPr>
          <w:rFonts w:ascii="仿宋" w:hAnsi="仿宋" w:cs="宋体"/>
          <w:color w:val="auto"/>
          <w:szCs w:val="28"/>
          <w:highlight w:val="none"/>
        </w:rPr>
      </w:pPr>
      <w:bookmarkStart w:id="1" w:name="_Toc52721332"/>
      <w:r>
        <w:rPr>
          <w:rFonts w:hint="eastAsia" w:ascii="宋体" w:hAnsi="宋体" w:eastAsia="宋体" w:cs="宋体"/>
          <w:color w:val="auto"/>
          <w:szCs w:val="28"/>
          <w:highlight w:val="none"/>
        </w:rPr>
        <w:t>（</w:t>
      </w:r>
      <w:r>
        <w:rPr>
          <w:rFonts w:hint="eastAsia" w:ascii="仿宋" w:hAnsi="仿宋" w:cs="宋体"/>
          <w:color w:val="auto"/>
          <w:szCs w:val="28"/>
          <w:highlight w:val="none"/>
        </w:rPr>
        <w:t>一）发展基础</w:t>
      </w:r>
      <w:bookmarkEnd w:id="1"/>
    </w:p>
    <w:p>
      <w:pPr>
        <w:ind w:firstLine="560" w:firstLineChars="200"/>
        <w:rPr>
          <w:color w:val="auto"/>
          <w:highlight w:val="none"/>
        </w:rPr>
      </w:pPr>
      <w:r>
        <w:rPr>
          <w:rFonts w:hint="eastAsia" w:ascii="仿宋" w:hAnsi="仿宋" w:eastAsia="仿宋"/>
          <w:color w:val="auto"/>
          <w:sz w:val="28"/>
          <w:szCs w:val="28"/>
          <w:highlight w:val="none"/>
        </w:rPr>
        <w:t>“十三五”是开平市医疗保障全面深化改革的重要时期。“十三五”期间，开平医疗保障系统以党的十八大、十九大及中央全会重大决定和精神为指导，坚持“政府主导、责任分担、全面覆盖、城乡一体、层次多元”的理念，努力推进医疗保障关键领域和关键环节的一系列改革，在</w:t>
      </w:r>
      <w:bookmarkStart w:id="2" w:name="_Hlk50994401"/>
      <w:r>
        <w:rPr>
          <w:rFonts w:hint="eastAsia" w:ascii="仿宋" w:hAnsi="仿宋" w:eastAsia="仿宋"/>
          <w:color w:val="auto"/>
          <w:sz w:val="28"/>
          <w:szCs w:val="28"/>
          <w:highlight w:val="none"/>
        </w:rPr>
        <w:t>多方面取得显著成效</w:t>
      </w:r>
      <w:bookmarkEnd w:id="2"/>
      <w:r>
        <w:rPr>
          <w:rFonts w:hint="eastAsia" w:ascii="仿宋" w:hAnsi="仿宋" w:eastAsia="仿宋"/>
          <w:color w:val="auto"/>
          <w:sz w:val="28"/>
          <w:szCs w:val="28"/>
          <w:highlight w:val="none"/>
        </w:rPr>
        <w:t>，为“十四五”期间实现开平医保的高质量发展奠定了良好的基础。</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医疗保障管理体制从部门分割走向集中统一。</w:t>
      </w:r>
      <w:r>
        <w:rPr>
          <w:rFonts w:hint="eastAsia" w:ascii="仿宋" w:hAnsi="仿宋" w:eastAsia="仿宋"/>
          <w:color w:val="auto"/>
          <w:sz w:val="28"/>
          <w:szCs w:val="28"/>
          <w:highlight w:val="none"/>
        </w:rPr>
        <w:t>开平市医疗保障局于</w:t>
      </w:r>
      <w:r>
        <w:rPr>
          <w:rFonts w:ascii="仿宋" w:hAnsi="仿宋" w:eastAsia="仿宋"/>
          <w:color w:val="auto"/>
          <w:sz w:val="28"/>
          <w:szCs w:val="28"/>
          <w:highlight w:val="none"/>
        </w:rPr>
        <w:t>2019年</w:t>
      </w:r>
      <w:r>
        <w:rPr>
          <w:rFonts w:hint="eastAsia" w:ascii="仿宋" w:hAnsi="仿宋" w:eastAsia="仿宋"/>
          <w:color w:val="auto"/>
          <w:sz w:val="28"/>
          <w:szCs w:val="28"/>
          <w:highlight w:val="none"/>
        </w:rPr>
        <w:t>2</w:t>
      </w:r>
      <w:r>
        <w:rPr>
          <w:rFonts w:ascii="仿宋" w:hAnsi="仿宋" w:eastAsia="仿宋"/>
          <w:color w:val="auto"/>
          <w:sz w:val="28"/>
          <w:szCs w:val="28"/>
          <w:highlight w:val="none"/>
        </w:rPr>
        <w:t>月</w:t>
      </w:r>
      <w:r>
        <w:rPr>
          <w:rFonts w:hint="eastAsia" w:ascii="仿宋" w:hAnsi="仿宋" w:eastAsia="仿宋"/>
          <w:color w:val="auto"/>
          <w:sz w:val="28"/>
          <w:szCs w:val="28"/>
          <w:highlight w:val="none"/>
        </w:rPr>
        <w:t>22</w:t>
      </w:r>
      <w:r>
        <w:rPr>
          <w:rFonts w:ascii="仿宋" w:hAnsi="仿宋" w:eastAsia="仿宋"/>
          <w:color w:val="auto"/>
          <w:sz w:val="28"/>
          <w:szCs w:val="28"/>
          <w:highlight w:val="none"/>
        </w:rPr>
        <w:t>日挂牌成立</w:t>
      </w:r>
      <w:r>
        <w:rPr>
          <w:rFonts w:hint="eastAsia" w:ascii="仿宋" w:hAnsi="仿宋" w:eastAsia="仿宋"/>
          <w:color w:val="auto"/>
          <w:sz w:val="28"/>
          <w:szCs w:val="28"/>
          <w:highlight w:val="none"/>
        </w:rPr>
        <w:t>，医保局的组建，整合理顺了原本分散在人社、民政、卫健与发改等部门的医疗保障相关职能，使得医疗保障管理体制从部门分割走向集中统一，扫清了长期制约这一制度改革与发展的体制性障碍，是新时代推动医疗保障改革全面走向深化，加强医保管理能力和促进医保治理体系现代化的重要举措。</w:t>
      </w:r>
    </w:p>
    <w:p>
      <w:pPr>
        <w:ind w:firstLine="562" w:firstLineChars="200"/>
        <w:rPr>
          <w:color w:val="auto"/>
          <w:highlight w:val="none"/>
        </w:rPr>
      </w:pPr>
      <w:r>
        <w:rPr>
          <w:rFonts w:hint="eastAsia" w:ascii="仿宋" w:hAnsi="仿宋" w:eastAsia="仿宋"/>
          <w:b/>
          <w:bCs/>
          <w:color w:val="auto"/>
          <w:sz w:val="28"/>
          <w:szCs w:val="28"/>
          <w:highlight w:val="none"/>
        </w:rPr>
        <w:t>医疗保障制度体系更趋健全。</w:t>
      </w:r>
      <w:r>
        <w:rPr>
          <w:rFonts w:hint="eastAsia" w:ascii="仿宋" w:hAnsi="仿宋" w:eastAsia="仿宋"/>
          <w:color w:val="auto"/>
          <w:sz w:val="28"/>
          <w:szCs w:val="28"/>
          <w:highlight w:val="none"/>
        </w:rPr>
        <w:t>开平市已建立起以基本医疗保险为主体，医疗救助为托底，补充医疗保险、重大疾病医疗保险、商业健康保险共同发展的医疗保障制度框架，各项制度平稳运行。基本医疗保险方面，</w:t>
      </w:r>
      <w:r>
        <w:rPr>
          <w:rFonts w:hint="eastAsia" w:ascii="仿宋_GB2312" w:eastAsia="仿宋_GB2312"/>
          <w:color w:val="auto"/>
          <w:kern w:val="0"/>
          <w:sz w:val="28"/>
          <w:szCs w:val="28"/>
          <w:highlight w:val="none"/>
        </w:rPr>
        <w:t>一是完成了医保一体化改革。</w:t>
      </w:r>
      <w:r>
        <w:rPr>
          <w:rFonts w:hint="eastAsia" w:ascii="仿宋" w:hAnsi="仿宋" w:eastAsia="仿宋"/>
          <w:color w:val="auto"/>
          <w:sz w:val="28"/>
          <w:szCs w:val="28"/>
          <w:highlight w:val="none"/>
        </w:rPr>
        <w:t>成功打破医保城乡分置，全市医保制度归并为城乡一体的社会医疗保险制度，使得城乡参保人公平享有基本医疗保险权益，城乡居民医保待遇显著提高。二是基本实现全民医保的目标。截至</w:t>
      </w:r>
      <w:r>
        <w:rPr>
          <w:rFonts w:ascii="仿宋" w:hAnsi="仿宋" w:eastAsia="仿宋"/>
          <w:color w:val="auto"/>
          <w:sz w:val="28"/>
          <w:szCs w:val="28"/>
          <w:highlight w:val="none"/>
        </w:rPr>
        <w:t>2019年底，</w:t>
      </w:r>
      <w:r>
        <w:rPr>
          <w:rFonts w:hint="eastAsia" w:ascii="仿宋" w:hAnsi="仿宋" w:eastAsia="仿宋"/>
          <w:color w:val="auto"/>
          <w:sz w:val="28"/>
          <w:szCs w:val="28"/>
          <w:highlight w:val="none"/>
        </w:rPr>
        <w:t>全</w:t>
      </w:r>
      <w:r>
        <w:rPr>
          <w:rFonts w:ascii="仿宋" w:hAnsi="仿宋" w:eastAsia="仿宋"/>
          <w:color w:val="auto"/>
          <w:sz w:val="28"/>
          <w:szCs w:val="28"/>
          <w:highlight w:val="none"/>
        </w:rPr>
        <w:t>市</w:t>
      </w:r>
      <w:r>
        <w:rPr>
          <w:rFonts w:hint="eastAsia" w:ascii="仿宋" w:hAnsi="仿宋" w:eastAsia="仿宋"/>
          <w:color w:val="auto"/>
          <w:sz w:val="28"/>
          <w:szCs w:val="28"/>
          <w:highlight w:val="none"/>
        </w:rPr>
        <w:t>职工医保参保人数14.38万，城乡居民医保参保人数47.73万，生育保险参保人数10.22万。三是</w:t>
      </w:r>
      <w:r>
        <w:rPr>
          <w:rFonts w:ascii="仿宋" w:hAnsi="仿宋" w:eastAsia="仿宋"/>
          <w:color w:val="auto"/>
          <w:sz w:val="28"/>
          <w:szCs w:val="28"/>
          <w:highlight w:val="none"/>
        </w:rPr>
        <w:t>引入</w:t>
      </w:r>
      <w:r>
        <w:rPr>
          <w:rFonts w:hint="eastAsia" w:ascii="仿宋" w:hAnsi="仿宋" w:eastAsia="仿宋"/>
          <w:color w:val="auto"/>
          <w:sz w:val="28"/>
          <w:szCs w:val="28"/>
          <w:highlight w:val="none"/>
        </w:rPr>
        <w:t>商业保险机构</w:t>
      </w:r>
      <w:r>
        <w:rPr>
          <w:rFonts w:ascii="仿宋" w:hAnsi="仿宋" w:eastAsia="仿宋"/>
          <w:color w:val="auto"/>
          <w:sz w:val="28"/>
          <w:szCs w:val="28"/>
          <w:highlight w:val="none"/>
        </w:rPr>
        <w:t>承办大病保险，理顺业务流程，提供政策指引，构建起大病医保</w:t>
      </w:r>
      <w:r>
        <w:rPr>
          <w:rFonts w:hint="eastAsia" w:ascii="仿宋" w:hAnsi="仿宋" w:eastAsia="仿宋"/>
          <w:color w:val="auto"/>
          <w:sz w:val="28"/>
          <w:szCs w:val="28"/>
          <w:highlight w:val="none"/>
        </w:rPr>
        <w:t>“</w:t>
      </w:r>
      <w:r>
        <w:rPr>
          <w:rFonts w:ascii="仿宋" w:hAnsi="仿宋" w:eastAsia="仿宋"/>
          <w:color w:val="auto"/>
          <w:sz w:val="28"/>
          <w:szCs w:val="28"/>
          <w:highlight w:val="none"/>
        </w:rPr>
        <w:t>政府主导、商业参与、风险共担</w:t>
      </w:r>
      <w:r>
        <w:rPr>
          <w:rFonts w:hint="eastAsia" w:ascii="仿宋" w:hAnsi="仿宋" w:eastAsia="仿宋"/>
          <w:color w:val="auto"/>
          <w:sz w:val="28"/>
          <w:szCs w:val="28"/>
          <w:highlight w:val="none"/>
        </w:rPr>
        <w:t>”</w:t>
      </w:r>
      <w:r>
        <w:rPr>
          <w:rFonts w:ascii="仿宋" w:hAnsi="仿宋" w:eastAsia="仿宋"/>
          <w:color w:val="auto"/>
          <w:sz w:val="28"/>
          <w:szCs w:val="28"/>
          <w:highlight w:val="none"/>
        </w:rPr>
        <w:t>的格局。</w:t>
      </w:r>
      <w:r>
        <w:rPr>
          <w:rFonts w:hint="eastAsia" w:ascii="仿宋" w:hAnsi="仿宋" w:eastAsia="仿宋"/>
          <w:color w:val="auto"/>
          <w:sz w:val="28"/>
          <w:szCs w:val="28"/>
          <w:highlight w:val="none"/>
        </w:rPr>
        <w:t>四是建立起了涵盖资助参保、门诊救助、住院救助三种救助方式的医疗救助体系，将最低生活保障家庭成员、特困供养人员、孤儿、低收入家庭成员、因病致贫家庭重病患者及其他特殊困难人员都纳入为医疗救助体系的保障对象。医疗救助已实现市级统筹以及全市政策统一，其待遇水平和公平性进一步提高。医保扶贫效果显著。五是生育保险参保人数不断增多，并实现了</w:t>
      </w:r>
      <w:r>
        <w:rPr>
          <w:rFonts w:ascii="仿宋" w:hAnsi="仿宋" w:eastAsia="仿宋"/>
          <w:color w:val="auto"/>
          <w:sz w:val="28"/>
          <w:szCs w:val="28"/>
          <w:highlight w:val="none"/>
        </w:rPr>
        <w:t>和职工医保的合并实施</w:t>
      </w:r>
      <w:r>
        <w:rPr>
          <w:rFonts w:hint="eastAsia" w:ascii="仿宋" w:hAnsi="仿宋" w:eastAsia="仿宋"/>
          <w:color w:val="auto"/>
          <w:sz w:val="28"/>
          <w:szCs w:val="28"/>
          <w:highlight w:val="none"/>
        </w:rPr>
        <w:t>。</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医疗保障待遇水平持续提升，有效缓解了“看病贵”、“看病难”问题。</w:t>
      </w:r>
      <w:r>
        <w:rPr>
          <w:rFonts w:hint="eastAsia" w:ascii="仿宋" w:hAnsi="仿宋" w:eastAsia="仿宋"/>
          <w:color w:val="auto"/>
          <w:sz w:val="28"/>
          <w:szCs w:val="28"/>
          <w:highlight w:val="none"/>
        </w:rPr>
        <w:t>开平市医疗保险实行一体化改革以来，参保人的住院报销比例和</w:t>
      </w:r>
      <w:r>
        <w:rPr>
          <w:rFonts w:ascii="仿宋" w:hAnsi="仿宋" w:eastAsia="仿宋"/>
          <w:color w:val="auto"/>
          <w:sz w:val="28"/>
          <w:szCs w:val="28"/>
          <w:highlight w:val="none"/>
        </w:rPr>
        <w:t>最高支付限额</w:t>
      </w:r>
      <w:r>
        <w:rPr>
          <w:rFonts w:hint="eastAsia" w:ascii="仿宋" w:hAnsi="仿宋" w:eastAsia="仿宋"/>
          <w:color w:val="auto"/>
          <w:sz w:val="28"/>
          <w:szCs w:val="28"/>
          <w:highlight w:val="none"/>
        </w:rPr>
        <w:t>持续上升，</w:t>
      </w:r>
      <w:r>
        <w:rPr>
          <w:rFonts w:ascii="仿宋" w:hAnsi="仿宋" w:eastAsia="仿宋"/>
          <w:color w:val="auto"/>
          <w:sz w:val="28"/>
          <w:szCs w:val="28"/>
          <w:highlight w:val="none"/>
        </w:rPr>
        <w:t>大病保险起赔标准</w:t>
      </w:r>
      <w:r>
        <w:rPr>
          <w:rFonts w:hint="eastAsia" w:ascii="仿宋" w:hAnsi="仿宋" w:eastAsia="仿宋"/>
          <w:color w:val="auto"/>
          <w:sz w:val="28"/>
          <w:szCs w:val="28"/>
          <w:highlight w:val="none"/>
        </w:rPr>
        <w:t>降</w:t>
      </w:r>
      <w:r>
        <w:rPr>
          <w:rFonts w:ascii="仿宋" w:hAnsi="仿宋" w:eastAsia="仿宋"/>
          <w:color w:val="auto"/>
          <w:sz w:val="28"/>
          <w:szCs w:val="28"/>
          <w:highlight w:val="none"/>
        </w:rPr>
        <w:t>为1万元，对大病患者发生的高额医疗费用给予进一步保障，并向困难群体倾斜，对建档立卡的贫困人员、</w:t>
      </w:r>
      <w:r>
        <w:rPr>
          <w:rFonts w:hint="eastAsia" w:ascii="仿宋" w:hAnsi="仿宋" w:eastAsia="仿宋"/>
          <w:color w:val="auto"/>
          <w:sz w:val="28"/>
          <w:szCs w:val="28"/>
          <w:highlight w:val="none"/>
        </w:rPr>
        <w:t>最低生活保障对象和特困供养人员不设最高赔付限额。</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经办能力不断提升，全面实现一站式结算。</w:t>
      </w:r>
      <w:r>
        <w:rPr>
          <w:rFonts w:hint="eastAsia" w:ascii="仿宋" w:hAnsi="仿宋" w:eastAsia="仿宋"/>
          <w:color w:val="auto"/>
          <w:sz w:val="28"/>
          <w:szCs w:val="28"/>
          <w:highlight w:val="none"/>
        </w:rPr>
        <w:t>坚持将医保经办服务作为服务民生的重要内容，按照“办事就简不就繁，服务就近不就远”的原则，以信息化为导向，通过推行就近办、简化办、一站办、联网办、掌上办等服务举措，全面实现基本医疗保险、大病保险、医疗救助异地就医“一站式”结算，实现医保经办服务更加智能便捷、公平可及。</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医保支付方式改革持续深化，多元复合式医保支付体系初步形成。</w:t>
      </w:r>
      <w:r>
        <w:rPr>
          <w:rFonts w:hint="eastAsia" w:ascii="仿宋" w:hAnsi="仿宋" w:eastAsia="仿宋"/>
          <w:color w:val="auto"/>
          <w:sz w:val="28"/>
          <w:szCs w:val="28"/>
          <w:highlight w:val="none"/>
        </w:rPr>
        <w:t>通过全面推行按病种分值付费，完善按人头付费、按床日付费、按项目付费、日间手术、平均定额结算等支付方式，实施适合医联体发展的支付方式，建立起了符合开平市医疗服务特点的多元复合式医保支付体系。医保支付方式改革作为深化医疗保障制度改革的“助推器”，促进了优质医疗资源的合理配置，助力控制医疗费用的不合理增长。</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医保基金监管取得阶段性成果，有效遏制了欺诈骗保违法行为。</w:t>
      </w:r>
      <w:r>
        <w:rPr>
          <w:rFonts w:hint="eastAsia" w:ascii="仿宋" w:hAnsi="仿宋" w:eastAsia="仿宋"/>
          <w:color w:val="auto"/>
          <w:sz w:val="28"/>
          <w:szCs w:val="28"/>
          <w:highlight w:val="none"/>
        </w:rPr>
        <w:t>一是做实打击欺诈骗保专项治理，持续加大打击欺诈骗保工作力度。</w:t>
      </w:r>
      <w:r>
        <w:rPr>
          <w:rFonts w:hint="eastAsia" w:ascii="仿宋" w:hAnsi="仿宋" w:eastAsia="仿宋"/>
          <w:color w:val="auto"/>
          <w:sz w:val="28"/>
          <w:szCs w:val="28"/>
          <w:highlight w:val="none"/>
          <w:lang w:bidi="zh-TW"/>
        </w:rPr>
        <w:t>综合运用线上宣传、线下宣传多种方式，组织开展打击欺诈骗保集中宣传月活动，营造打击欺诈骗保浓厚社会氛围。</w:t>
      </w:r>
      <w:r>
        <w:rPr>
          <w:rFonts w:hint="eastAsia" w:ascii="仿宋" w:hAnsi="仿宋" w:eastAsia="仿宋"/>
          <w:color w:val="auto"/>
          <w:sz w:val="28"/>
          <w:szCs w:val="28"/>
          <w:highlight w:val="none"/>
        </w:rPr>
        <w:t>通过召开全市警示工作会议、建立联席会议制度、现场咨询活动、专项治理行动等形式，严密防范医保基金风险，确保基金在安全可控的区间运行，为广大参保人享受医疗保险待遇提供坚实保障。二是通过畅通社会公布举报渠道，形成了制度支撑、社会监督、部门联动、群众参与的基金监管长效机制。贯彻执行《江门市医疗保障局关于打击欺诈骗取医疗保障基金行为举报奖励实施细则》，进一步激发群众参与医保基金监管的热情。三是推进智能化医保监控体系的建设，运用智能监控措施规范医保单据初审、复审，</w:t>
      </w:r>
      <w:r>
        <w:rPr>
          <w:rFonts w:ascii="仿宋" w:hAnsi="仿宋" w:eastAsia="仿宋"/>
          <w:color w:val="auto"/>
          <w:sz w:val="28"/>
          <w:szCs w:val="28"/>
          <w:highlight w:val="none"/>
        </w:rPr>
        <w:t>利用智能化监控，聚焦和精准打击虚假住院、低标准入院、编码高套、分解住院和虚构医疗服务等欺诈骗取医保基金的不法行为，</w:t>
      </w:r>
      <w:r>
        <w:rPr>
          <w:rFonts w:hint="eastAsia" w:ascii="仿宋" w:hAnsi="仿宋" w:eastAsia="仿宋"/>
          <w:color w:val="auto"/>
          <w:sz w:val="28"/>
          <w:szCs w:val="28"/>
          <w:highlight w:val="none"/>
        </w:rPr>
        <w:t>确保医保基金安全</w:t>
      </w:r>
      <w:r>
        <w:rPr>
          <w:rFonts w:ascii="仿宋" w:hAnsi="仿宋" w:eastAsia="仿宋"/>
          <w:color w:val="auto"/>
          <w:sz w:val="28"/>
          <w:szCs w:val="28"/>
          <w:highlight w:val="none"/>
        </w:rPr>
        <w:t>。</w:t>
      </w:r>
      <w:bookmarkStart w:id="3" w:name="_Toc52721333"/>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color w:val="auto"/>
          <w:sz w:val="28"/>
          <w:szCs w:val="28"/>
          <w:highlight w:val="none"/>
        </w:rPr>
        <w:t>医保扶贫取得显著成效。</w:t>
      </w:r>
      <w:r>
        <w:rPr>
          <w:rFonts w:hint="eastAsia" w:ascii="仿宋" w:hAnsi="仿宋" w:eastAsia="仿宋"/>
          <w:color w:val="auto"/>
          <w:sz w:val="28"/>
          <w:szCs w:val="28"/>
          <w:highlight w:val="none"/>
        </w:rPr>
        <w:t>一是贯彻落实广东省医疗保障扶贫三年行动实施方案（2018-2020年），完善可持续筹资政策，全额资助参保，确保应保尽保。对符合我市条件的困难居民参加城乡居民医保，由财政全额资助，个人免缴费，确保困难居民全面纳入我市基本医疗保险保障范围。二是落实大病保险倾斜政策，切实减轻医疗费用负担，使困难人员获得更好的医疗保障。三是创新扶贫政策，100%实施医疗保障精准扶贫，将精准扶贫对象发生的住院和特定病种门诊医疗费用，通过基本医疗保险基金、大病保险资金、医疗救助资金和城乡居民医疗保障精准扶贫资金按规定提供精准全额资助。四是优化综合保障措施，提升医保扶贫待遇水平，统一全市医疗救助待遇，实现“同城同待遇”，推进基本公共服务均等化工作目标的落实。对最低生活保障家庭成员、特困供养人员（含孤儿）、低收入家庭成员等医疗救助比例不低于70%，年度最高救助限额不低于8万元；对经医疗救助后医疗费用个人负担仍较重的医疗救助对象还可享受二次医疗救助。五是推进医疗保障“一站式”结算，实现医疗救助和基本医疗保险、大病保险市域内、省内和跨省“一站式”直接结算，提供更便捷医疗保障服务，解决救助对象垫付医疗费用负担重的问题。</w:t>
      </w:r>
    </w:p>
    <w:p>
      <w:pPr>
        <w:pStyle w:val="5"/>
        <w:spacing w:before="140" w:after="20" w:line="400" w:lineRule="atLeast"/>
        <w:ind w:firstLine="562" w:firstLineChars="200"/>
        <w:jc w:val="left"/>
        <w:rPr>
          <w:rFonts w:ascii="仿宋" w:hAnsi="仿宋" w:cs="宋体"/>
          <w:color w:val="auto"/>
          <w:szCs w:val="28"/>
          <w:highlight w:val="none"/>
        </w:rPr>
      </w:pPr>
      <w:r>
        <w:rPr>
          <w:rFonts w:hint="eastAsia" w:ascii="仿宋" w:hAnsi="仿宋" w:cs="宋体"/>
          <w:color w:val="auto"/>
          <w:szCs w:val="28"/>
          <w:highlight w:val="none"/>
        </w:rPr>
        <w:t>（二）发展机遇</w:t>
      </w:r>
      <w:bookmarkEnd w:id="3"/>
    </w:p>
    <w:p>
      <w:pPr>
        <w:spacing w:line="580" w:lineRule="exact"/>
        <w:ind w:firstLine="562" w:firstLineChars="200"/>
        <w:rPr>
          <w:rFonts w:ascii="仿宋" w:hAnsi="仿宋" w:eastAsia="仿宋"/>
          <w:color w:val="auto"/>
          <w:sz w:val="28"/>
          <w:szCs w:val="28"/>
          <w:highlight w:val="none"/>
        </w:rPr>
      </w:pPr>
      <w:r>
        <w:rPr>
          <w:rFonts w:hint="eastAsia" w:ascii="仿宋" w:hAnsi="仿宋" w:eastAsia="仿宋"/>
          <w:b/>
          <w:color w:val="auto"/>
          <w:sz w:val="28"/>
          <w:szCs w:val="28"/>
          <w:highlight w:val="none"/>
        </w:rPr>
        <w:t>顶层设计为医疗保障事业发展指明了方向。</w:t>
      </w:r>
      <w:r>
        <w:rPr>
          <w:rFonts w:hint="eastAsia" w:ascii="仿宋" w:hAnsi="仿宋" w:eastAsia="仿宋"/>
          <w:color w:val="auto"/>
          <w:sz w:val="28"/>
          <w:szCs w:val="28"/>
          <w:highlight w:val="none"/>
        </w:rPr>
        <w:t>2016年10月25日，中共中央、国务院印发的《“健康中国2030”规划纲要》对医疗保障体系和药品供应保障提出了明确的要求，体现了国家对医疗保障事业的重视。十九大再次提出深化医药卫生体制改革，全面建立中国特色基本医疗卫生制度、医疗保障制度和优质高效的医疗卫生服务体系。2020年3月5日，中共中央、国务院印发《关于深化医疗保障制度改革的意见》，这是我国医疗保障领域迄今的最高规格文件，从总体上规划了未来一段时期我国医保的发展方向，对未来的医保发展具有指南针的作用。</w:t>
      </w:r>
    </w:p>
    <w:p>
      <w:pPr>
        <w:spacing w:line="580" w:lineRule="exact"/>
        <w:ind w:firstLine="562" w:firstLineChars="200"/>
        <w:rPr>
          <w:rFonts w:ascii="仿宋" w:hAnsi="仿宋" w:eastAsia="仿宋"/>
          <w:color w:val="auto"/>
          <w:sz w:val="28"/>
          <w:szCs w:val="28"/>
          <w:highlight w:val="none"/>
        </w:rPr>
      </w:pPr>
      <w:r>
        <w:rPr>
          <w:rFonts w:hint="eastAsia" w:ascii="仿宋" w:hAnsi="仿宋" w:eastAsia="仿宋"/>
          <w:b/>
          <w:color w:val="auto"/>
          <w:sz w:val="28"/>
          <w:szCs w:val="28"/>
          <w:highlight w:val="none"/>
        </w:rPr>
        <w:t>互联网和数字技术的发展将助力医保公共服务能力的提升。</w:t>
      </w:r>
      <w:r>
        <w:rPr>
          <w:rFonts w:hint="eastAsia" w:ascii="仿宋" w:hAnsi="仿宋" w:eastAsia="仿宋"/>
          <w:color w:val="auto"/>
          <w:sz w:val="28"/>
          <w:szCs w:val="28"/>
          <w:highlight w:val="none"/>
        </w:rPr>
        <w:t>互联网的发展及大数据技术、区块链技术自身的特点和优势为医保治理手段创新和治理能力提升创造了机遇。“互联网+”、云计算、大数据的发展将在很大程度上改革和创新医保的管理方式、服务方式和行为方式，医保信息系统不断升级适应国家惠民工作的要求，促进“信息多跑路、群众少跑腿”的实现，医保经办能力大幅提升。基于大数据的算法优势，进行按病种分值付费等付费方式的测算和评价，为科学付费提供了新的技术基础。基于大数据开展医保实时监管，将医疗机构和药店、医师、参保人员等参与者的行为全部纳入实时在线监控，将实现医保由传统的“个案监管”向“大数据监管”的转变，实现从粗放式管理向精细化、标准化管理的转变。区块链技术的运用将有效避免医保欺诈，提高医保经办处理效率，并加强医疗信息交换的安全性。</w:t>
      </w:r>
      <w:bookmarkStart w:id="4" w:name="_Toc52721334"/>
    </w:p>
    <w:p>
      <w:pPr>
        <w:pStyle w:val="5"/>
        <w:spacing w:before="140" w:after="20" w:line="400" w:lineRule="atLeast"/>
        <w:jc w:val="left"/>
        <w:rPr>
          <w:rFonts w:ascii="仿宋" w:hAnsi="仿宋" w:cs="宋体"/>
          <w:color w:val="auto"/>
          <w:szCs w:val="28"/>
          <w:highlight w:val="none"/>
        </w:rPr>
      </w:pPr>
      <w:r>
        <w:rPr>
          <w:rFonts w:hint="eastAsia" w:ascii="仿宋" w:hAnsi="仿宋" w:cs="宋体"/>
          <w:color w:val="auto"/>
          <w:szCs w:val="28"/>
          <w:highlight w:val="none"/>
        </w:rPr>
        <w:t>（三）面临的挑战</w:t>
      </w:r>
      <w:bookmarkEnd w:id="4"/>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民生发展对医疗保障事业提出了新要求。</w:t>
      </w:r>
      <w:r>
        <w:rPr>
          <w:rFonts w:hint="eastAsia" w:ascii="仿宋" w:hAnsi="仿宋" w:eastAsia="仿宋"/>
          <w:color w:val="auto"/>
          <w:sz w:val="28"/>
          <w:szCs w:val="28"/>
          <w:highlight w:val="none"/>
        </w:rPr>
        <w:t>随着我国社会主要矛盾的转移，人们对美好生活的需要在医疗保障方面更多的体现在从追求之前的“病有所医”到现在的“预防为主”和“病有良医”的“大健康”需求上来。十九大报告和《“健康中国</w:t>
      </w:r>
      <w:r>
        <w:rPr>
          <w:rFonts w:ascii="仿宋" w:hAnsi="仿宋" w:eastAsia="仿宋"/>
          <w:color w:val="auto"/>
          <w:sz w:val="28"/>
          <w:szCs w:val="28"/>
          <w:highlight w:val="none"/>
        </w:rPr>
        <w:t>2030”规划纲要》都倡导要以提高人民健康水平为核心，加快转变健康领域发展方式，全方位、全周期维护和保障人民健康。这就要求</w:t>
      </w:r>
      <w:r>
        <w:rPr>
          <w:rFonts w:hint="eastAsia" w:ascii="仿宋" w:hAnsi="仿宋" w:eastAsia="仿宋"/>
          <w:color w:val="auto"/>
          <w:sz w:val="28"/>
          <w:szCs w:val="28"/>
          <w:highlight w:val="none"/>
        </w:rPr>
        <w:t>建立集预防、保健、康复于一体的整合型医疗服务模式，要求重视疾病预防工作，加紧实施慢病综合防控和健康管理推进基本公共卫生服务均等化。</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《关于深化医疗保障制度改革的意见》提出了医疗保障改革攻坚克难的重要任务。</w:t>
      </w:r>
      <w:r>
        <w:rPr>
          <w:rFonts w:ascii="仿宋" w:hAnsi="仿宋" w:eastAsia="仿宋"/>
          <w:color w:val="auto"/>
          <w:sz w:val="28"/>
          <w:szCs w:val="28"/>
          <w:highlight w:val="none"/>
        </w:rPr>
        <w:t>《意见》除了要求完善支付机制、调整保障结构、</w:t>
      </w:r>
      <w:r>
        <w:rPr>
          <w:rFonts w:hint="eastAsia" w:ascii="仿宋" w:hAnsi="仿宋" w:eastAsia="仿宋"/>
          <w:color w:val="auto"/>
          <w:sz w:val="28"/>
          <w:szCs w:val="28"/>
          <w:highlight w:val="none"/>
        </w:rPr>
        <w:t>加强基金监管</w:t>
      </w:r>
      <w:r>
        <w:rPr>
          <w:rFonts w:ascii="仿宋" w:hAnsi="仿宋" w:eastAsia="仿宋"/>
          <w:color w:val="auto"/>
          <w:sz w:val="28"/>
          <w:szCs w:val="28"/>
          <w:highlight w:val="none"/>
        </w:rPr>
        <w:t>外，还对提供医疗保障公共管理服务方面</w:t>
      </w:r>
      <w:r>
        <w:rPr>
          <w:rFonts w:hint="eastAsia" w:ascii="仿宋" w:hAnsi="仿宋" w:eastAsia="仿宋"/>
          <w:color w:val="auto"/>
          <w:sz w:val="28"/>
          <w:szCs w:val="28"/>
          <w:highlight w:val="none"/>
        </w:rPr>
        <w:t>、协同推进医药服务供给侧改革方面</w:t>
      </w:r>
      <w:r>
        <w:rPr>
          <w:rFonts w:ascii="仿宋" w:hAnsi="仿宋" w:eastAsia="仿宋"/>
          <w:color w:val="auto"/>
          <w:sz w:val="28"/>
          <w:szCs w:val="28"/>
          <w:highlight w:val="none"/>
        </w:rPr>
        <w:t>提出了高标准的要求</w:t>
      </w:r>
      <w:r>
        <w:rPr>
          <w:rFonts w:hint="eastAsia" w:ascii="仿宋" w:hAnsi="仿宋" w:eastAsia="仿宋"/>
          <w:color w:val="auto"/>
          <w:sz w:val="28"/>
          <w:szCs w:val="28"/>
          <w:highlight w:val="none"/>
        </w:rPr>
        <w:t>。《意见》</w:t>
      </w:r>
      <w:r>
        <w:rPr>
          <w:rFonts w:ascii="仿宋" w:hAnsi="仿宋" w:eastAsia="仿宋"/>
          <w:color w:val="auto"/>
          <w:sz w:val="28"/>
          <w:szCs w:val="28"/>
          <w:highlight w:val="none"/>
        </w:rPr>
        <w:t>要求实现医疗保障一站式服务、一窗口办理、一单制结算；加快推进服务事项网上办理，提高运行效率和服务质量；建立全国统一、高效、兼容、便捷、安全的医疗保障信息系统，实现全国医疗保障信息</w:t>
      </w:r>
      <w:r>
        <w:rPr>
          <w:rFonts w:hint="eastAsia" w:ascii="仿宋" w:hAnsi="仿宋" w:eastAsia="仿宋"/>
          <w:color w:val="auto"/>
          <w:sz w:val="28"/>
          <w:szCs w:val="28"/>
          <w:highlight w:val="none"/>
        </w:rPr>
        <w:t>互联互通，加强数据有序共享；大力推进服务下沉，实现省、市、县、乡镇（街道）、村（社区）全覆盖。为应对突发公共卫生事件，《意见》提出要完善应急医疗救助机制，要统筹医疗保障基金和公共卫生服务资金使用，提高对基层医疗机构的支付比例，实现公共卫生服务和医疗服务有效衔接。在协同推进医药服务供给侧改革方面：要求充分发挥药品、医用耗材集中带量采购在深化医药服务供给侧改革中的引领作用，完善医保支付标准与集中采购价格协同机制；建立以市场为主导的药品、医用耗材价格形成机制，建立交易价格信息共享机制；推进医保、医疗、医药联动改革系统集成，加强政策和管理协同，增强医药服务可及性，促进医疗服务能力提升。</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人口结构变化对医疗保障事业提出了新任务。</w:t>
      </w:r>
      <w:r>
        <w:rPr>
          <w:rFonts w:hint="eastAsia" w:ascii="仿宋" w:hAnsi="仿宋" w:eastAsia="仿宋"/>
          <w:color w:val="auto"/>
          <w:sz w:val="28"/>
          <w:szCs w:val="28"/>
          <w:highlight w:val="none"/>
        </w:rPr>
        <w:t>根据卫健部门统计，截至2019年底，开平市60岁及以上户籍人口为15.02万人，占户籍人口总数的21.36%，其中65岁及以上户籍人口为10.31万人，占户籍人口总数的14.66%。</w:t>
      </w:r>
      <w:r>
        <w:rPr>
          <w:rFonts w:ascii="仿宋" w:hAnsi="仿宋" w:eastAsia="仿宋"/>
          <w:color w:val="auto"/>
          <w:sz w:val="28"/>
          <w:szCs w:val="28"/>
          <w:highlight w:val="none"/>
        </w:rPr>
        <w:t>老龄快速化、高龄化</w:t>
      </w:r>
      <w:r>
        <w:rPr>
          <w:rFonts w:hint="eastAsia" w:ascii="仿宋" w:hAnsi="仿宋" w:eastAsia="仿宋"/>
          <w:color w:val="auto"/>
          <w:sz w:val="28"/>
          <w:szCs w:val="28"/>
          <w:highlight w:val="none"/>
        </w:rPr>
        <w:t>对医疗保障事业提出了新任务。第一，对资金筹集与基金管理提出了新任务。基金收入将面临增长乏力，参保扩面工作亟待进一步推进，同时，未来基金支出将持续增长。因此，医保部门必须在筹资、待遇、特别是基金管理方面做好战略规划和布局，应对老龄化人口结构下的多维挑战。第二，失能老年人护理需求急剧增加，数量庞大的老年人群体对医疗保障和医疗服务提出了更高的要求。如何推进医养结合，如何设计和建立长期护理保险制度，以更高效地应对慢性病与失能的挑战，并分担家庭的照护压力，将是开平市“十四五”期间医疗保障制度建设无法回避的重大问题。</w:t>
      </w:r>
    </w:p>
    <w:p>
      <w:pPr>
        <w:spacing w:line="580" w:lineRule="exact"/>
        <w:ind w:firstLine="562" w:firstLineChars="200"/>
        <w:rPr>
          <w:rFonts w:ascii="仿宋" w:hAnsi="仿宋" w:eastAsia="仿宋"/>
          <w:color w:val="auto"/>
          <w:sz w:val="28"/>
          <w:szCs w:val="28"/>
          <w:highlight w:val="none"/>
        </w:rPr>
      </w:pPr>
      <w:r>
        <w:rPr>
          <w:rFonts w:hint="eastAsia" w:ascii="仿宋" w:hAnsi="仿宋" w:eastAsia="仿宋"/>
          <w:b/>
          <w:color w:val="auto"/>
          <w:sz w:val="28"/>
          <w:szCs w:val="28"/>
          <w:highlight w:val="none"/>
        </w:rPr>
        <w:t>宏观经济社会环境为医疗保障事业带来新难题。</w:t>
      </w:r>
      <w:r>
        <w:rPr>
          <w:rFonts w:hint="eastAsia" w:ascii="仿宋" w:hAnsi="仿宋" w:eastAsia="仿宋"/>
          <w:color w:val="auto"/>
          <w:sz w:val="28"/>
          <w:szCs w:val="28"/>
          <w:highlight w:val="none"/>
        </w:rPr>
        <w:t>第一，经济逆全球化背景下贸易战等外部压力，可能对持续提供医疗保障水平产生负面影响，对优化财务及待遇结构，控制不合理的医疗费用支出，完善分级诊疗等改革提出了更高的要求。第二，高风险社会要求医疗保障体系将风险因素考虑在内，未来的医疗保障体系也要随时准备应对突如其来的重大公共卫生事件，充分发挥医保在应急管理体系中的重要作用。第三，劳动就业方式与行业结构将发生变化，人口流动性进一步增强，灵活就业人数可能增加，这些都对参保缴费和经办服务提出了更高的要求。</w:t>
      </w:r>
    </w:p>
    <w:p>
      <w:pPr>
        <w:spacing w:line="58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 xml:space="preserve"> </w:t>
      </w:r>
    </w:p>
    <w:p>
      <w:pPr>
        <w:jc w:val="center"/>
        <w:outlineLvl w:val="0"/>
        <w:rPr>
          <w:rFonts w:ascii="仿宋" w:hAnsi="仿宋" w:eastAsia="仿宋"/>
          <w:b/>
          <w:bCs/>
          <w:color w:val="auto"/>
          <w:sz w:val="32"/>
          <w:szCs w:val="32"/>
          <w:highlight w:val="none"/>
        </w:rPr>
      </w:pPr>
      <w:bookmarkStart w:id="5" w:name="_Toc52721335"/>
      <w:r>
        <w:rPr>
          <w:rFonts w:ascii="仿宋" w:hAnsi="仿宋" w:eastAsia="仿宋"/>
          <w:b/>
          <w:bCs/>
          <w:color w:val="auto"/>
          <w:sz w:val="32"/>
          <w:szCs w:val="32"/>
          <w:highlight w:val="none"/>
        </w:rPr>
        <w:t>二</w:t>
      </w:r>
      <w:r>
        <w:rPr>
          <w:rFonts w:hint="eastAsia" w:ascii="仿宋" w:hAnsi="仿宋" w:eastAsia="仿宋"/>
          <w:b/>
          <w:bCs/>
          <w:color w:val="auto"/>
          <w:sz w:val="32"/>
          <w:szCs w:val="32"/>
          <w:highlight w:val="none"/>
        </w:rPr>
        <w:t>、</w:t>
      </w:r>
      <w:r>
        <w:rPr>
          <w:rFonts w:ascii="仿宋" w:hAnsi="仿宋" w:eastAsia="仿宋"/>
          <w:b/>
          <w:bCs/>
          <w:color w:val="auto"/>
          <w:sz w:val="32"/>
          <w:szCs w:val="32"/>
          <w:highlight w:val="none"/>
        </w:rPr>
        <w:t>总体要求</w:t>
      </w:r>
      <w:bookmarkEnd w:id="5"/>
    </w:p>
    <w:p>
      <w:pPr>
        <w:pStyle w:val="5"/>
        <w:spacing w:before="140" w:after="20" w:line="400" w:lineRule="atLeast"/>
        <w:ind w:firstLine="562" w:firstLineChars="200"/>
        <w:jc w:val="left"/>
        <w:rPr>
          <w:rFonts w:ascii="仿宋" w:hAnsi="仿宋" w:cs="宋体"/>
          <w:color w:val="auto"/>
          <w:szCs w:val="28"/>
          <w:highlight w:val="none"/>
        </w:rPr>
      </w:pPr>
      <w:bookmarkStart w:id="6" w:name="_Toc52721336"/>
      <w:r>
        <w:rPr>
          <w:rFonts w:hint="eastAsia" w:ascii="仿宋" w:hAnsi="仿宋" w:cs="宋体"/>
          <w:color w:val="auto"/>
          <w:szCs w:val="28"/>
          <w:highlight w:val="none"/>
        </w:rPr>
        <w:t>（一）指导思想</w:t>
      </w:r>
      <w:bookmarkEnd w:id="6"/>
    </w:p>
    <w:p>
      <w:pPr>
        <w:pStyle w:val="2"/>
        <w:spacing w:line="400" w:lineRule="atLeast"/>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十四五</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期间，开平市医疗保障事业发展要以习近平新时代中国特色社会主义思想为指导，深入学习贯彻习近平总书记关于医保工作的重要讲话、重要指示精神，全面贯彻党的十九大和十九届二中、三中、四中全会精神，认真落实党中央、国务院决策部署和省委省政府、国家医疗保障局、市委市政府、省和江门市医疗保障局的工作要求，坚持以人民为中心的发展理念，以切实保障人民群众看病就医需求、提升人民群众医疗保障获得感为出发点，以体制机制改革和创新为动力，深化医疗保障制度改革，加快推进医疗保障治理体系和治理能力现代化建设，初步建成制度合理、结构优化、治理高效的医疗保障制度体系，为建设健康开平、提升人民群众健康水平作出新贡献。</w:t>
      </w:r>
    </w:p>
    <w:p>
      <w:pPr>
        <w:pStyle w:val="5"/>
        <w:spacing w:before="140" w:after="20" w:line="400" w:lineRule="atLeast"/>
        <w:ind w:firstLine="562" w:firstLineChars="200"/>
        <w:jc w:val="left"/>
        <w:rPr>
          <w:rFonts w:ascii="仿宋" w:hAnsi="仿宋" w:cs="宋体"/>
          <w:color w:val="auto"/>
          <w:szCs w:val="28"/>
          <w:highlight w:val="none"/>
        </w:rPr>
      </w:pPr>
      <w:bookmarkStart w:id="7" w:name="_Toc52721337"/>
      <w:r>
        <w:rPr>
          <w:rFonts w:hint="eastAsia" w:ascii="仿宋" w:hAnsi="仿宋" w:cs="宋体"/>
          <w:color w:val="auto"/>
          <w:szCs w:val="28"/>
          <w:highlight w:val="none"/>
        </w:rPr>
        <w:t>（二）基本原则</w:t>
      </w:r>
      <w:bookmarkEnd w:id="7"/>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1、普惠公平原则</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坚持全民参保、</w:t>
      </w:r>
      <w:r>
        <w:rPr>
          <w:rFonts w:ascii="仿宋" w:hAnsi="仿宋" w:eastAsia="仿宋"/>
          <w:color w:val="auto"/>
          <w:sz w:val="28"/>
          <w:szCs w:val="28"/>
          <w:highlight w:val="none"/>
        </w:rPr>
        <w:t>应保尽保、基本医疗保障依法</w:t>
      </w:r>
      <w:r>
        <w:rPr>
          <w:rFonts w:hint="eastAsia" w:ascii="仿宋" w:hAnsi="仿宋" w:eastAsia="仿宋"/>
          <w:color w:val="auto"/>
          <w:sz w:val="28"/>
          <w:szCs w:val="28"/>
          <w:highlight w:val="none"/>
        </w:rPr>
        <w:t>覆盖</w:t>
      </w:r>
      <w:r>
        <w:rPr>
          <w:rFonts w:ascii="仿宋" w:hAnsi="仿宋" w:eastAsia="仿宋"/>
          <w:color w:val="auto"/>
          <w:sz w:val="28"/>
          <w:szCs w:val="28"/>
          <w:highlight w:val="none"/>
        </w:rPr>
        <w:t>全民，</w:t>
      </w:r>
      <w:r>
        <w:rPr>
          <w:rFonts w:hint="eastAsia" w:ascii="仿宋" w:hAnsi="仿宋" w:eastAsia="仿宋"/>
          <w:color w:val="auto"/>
          <w:sz w:val="28"/>
          <w:szCs w:val="28"/>
          <w:highlight w:val="none"/>
        </w:rPr>
        <w:t>保障</w:t>
      </w:r>
      <w:r>
        <w:rPr>
          <w:rFonts w:ascii="仿宋" w:hAnsi="仿宋" w:eastAsia="仿宋"/>
          <w:color w:val="auto"/>
          <w:sz w:val="28"/>
          <w:szCs w:val="28"/>
          <w:highlight w:val="none"/>
        </w:rPr>
        <w:t>基本，尽力而为、量力而行，实事求是确定保障范围和标准</w:t>
      </w:r>
      <w:r>
        <w:rPr>
          <w:rFonts w:hint="eastAsia" w:ascii="仿宋" w:hAnsi="仿宋" w:eastAsia="仿宋"/>
          <w:color w:val="auto"/>
          <w:sz w:val="28"/>
          <w:szCs w:val="28"/>
          <w:highlight w:val="none"/>
        </w:rPr>
        <w:t>。</w:t>
      </w:r>
      <w:r>
        <w:rPr>
          <w:rFonts w:ascii="仿宋" w:hAnsi="仿宋" w:eastAsia="仿宋"/>
          <w:color w:val="auto"/>
          <w:sz w:val="28"/>
          <w:szCs w:val="28"/>
          <w:highlight w:val="none"/>
        </w:rPr>
        <w:t>坚持促进公平、筑牢底线，强化制度公平，逐步缩小待遇差距，增强对贫困群众基础性、兜底性保障</w:t>
      </w:r>
      <w:r>
        <w:rPr>
          <w:rFonts w:hint="eastAsia" w:ascii="仿宋" w:hAnsi="仿宋" w:eastAsia="仿宋"/>
          <w:color w:val="auto"/>
          <w:sz w:val="28"/>
          <w:szCs w:val="28"/>
          <w:highlight w:val="none"/>
        </w:rPr>
        <w:t>。建立制度统一、公平普惠的医保格局，实现人人享有基本医疗保障。</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w:t>
      </w:r>
      <w:r>
        <w:rPr>
          <w:rFonts w:ascii="仿宋" w:hAnsi="仿宋" w:eastAsia="仿宋"/>
          <w:b/>
          <w:bCs/>
          <w:color w:val="auto"/>
          <w:sz w:val="28"/>
          <w:szCs w:val="28"/>
          <w:highlight w:val="none"/>
        </w:rPr>
        <w:t>稳健持续</w:t>
      </w:r>
      <w:r>
        <w:rPr>
          <w:rFonts w:hint="eastAsia" w:ascii="仿宋" w:hAnsi="仿宋" w:eastAsia="仿宋"/>
          <w:b/>
          <w:bCs/>
          <w:color w:val="auto"/>
          <w:sz w:val="28"/>
          <w:szCs w:val="28"/>
          <w:highlight w:val="none"/>
        </w:rPr>
        <w:t>原则</w:t>
      </w:r>
    </w:p>
    <w:p>
      <w:pPr>
        <w:spacing w:line="400" w:lineRule="atLeas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坚持</w:t>
      </w:r>
      <w:r>
        <w:rPr>
          <w:rFonts w:hint="eastAsia" w:ascii="仿宋" w:hAnsi="仿宋" w:eastAsia="仿宋"/>
          <w:color w:val="auto"/>
          <w:sz w:val="28"/>
          <w:szCs w:val="28"/>
          <w:highlight w:val="none"/>
        </w:rPr>
        <w:t>合理分担、</w:t>
      </w:r>
      <w:r>
        <w:rPr>
          <w:rFonts w:ascii="仿宋" w:hAnsi="仿宋" w:eastAsia="仿宋"/>
          <w:color w:val="auto"/>
          <w:sz w:val="28"/>
          <w:szCs w:val="28"/>
          <w:highlight w:val="none"/>
        </w:rPr>
        <w:t>均衡各方缴费责任，科学确定筹资水平。</w:t>
      </w:r>
      <w:r>
        <w:rPr>
          <w:rFonts w:hint="eastAsia" w:ascii="仿宋" w:hAnsi="仿宋" w:eastAsia="仿宋"/>
          <w:color w:val="auto"/>
          <w:sz w:val="28"/>
          <w:szCs w:val="28"/>
          <w:highlight w:val="none"/>
        </w:rPr>
        <w:t>坚持</w:t>
      </w:r>
      <w:r>
        <w:rPr>
          <w:rFonts w:ascii="仿宋" w:hAnsi="仿宋" w:eastAsia="仿宋"/>
          <w:color w:val="auto"/>
          <w:sz w:val="28"/>
          <w:szCs w:val="28"/>
          <w:highlight w:val="none"/>
        </w:rPr>
        <w:t>防范风险，加强统筹共济，确保基金稳健持续</w:t>
      </w:r>
      <w:r>
        <w:rPr>
          <w:rFonts w:hint="eastAsia" w:ascii="仿宋" w:hAnsi="仿宋" w:eastAsia="仿宋"/>
          <w:color w:val="auto"/>
          <w:sz w:val="28"/>
          <w:szCs w:val="28"/>
          <w:highlight w:val="none"/>
        </w:rPr>
        <w:t>。为人民群众提供保障可靠、费用可控、服务可及、质量优良的医疗保障，实现医保制度可持续发展。</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3、协同高效原则</w:t>
      </w:r>
    </w:p>
    <w:p>
      <w:pPr>
        <w:spacing w:line="400" w:lineRule="atLeas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坚持系统集成、协同高效，增强医保、医疗、医药</w:t>
      </w:r>
      <w:r>
        <w:rPr>
          <w:rFonts w:hint="eastAsia" w:ascii="仿宋" w:hAnsi="仿宋" w:eastAsia="仿宋"/>
          <w:color w:val="auto"/>
          <w:sz w:val="28"/>
          <w:szCs w:val="28"/>
          <w:highlight w:val="none"/>
        </w:rPr>
        <w:t>、公共卫生</w:t>
      </w:r>
      <w:r>
        <w:rPr>
          <w:rFonts w:ascii="仿宋" w:hAnsi="仿宋" w:eastAsia="仿宋"/>
          <w:color w:val="auto"/>
          <w:sz w:val="28"/>
          <w:szCs w:val="28"/>
          <w:highlight w:val="none"/>
        </w:rPr>
        <w:t>联动改革的整体性、系统性、协同性。</w:t>
      </w:r>
      <w:r>
        <w:rPr>
          <w:rFonts w:hint="eastAsia" w:ascii="仿宋" w:hAnsi="仿宋" w:eastAsia="仿宋"/>
          <w:color w:val="auto"/>
          <w:sz w:val="28"/>
          <w:szCs w:val="28"/>
          <w:highlight w:val="none"/>
        </w:rPr>
        <w:t>明确多层次医疗保障体系的结构与功能定位，</w:t>
      </w:r>
      <w:r>
        <w:rPr>
          <w:rFonts w:ascii="仿宋" w:hAnsi="仿宋" w:eastAsia="仿宋"/>
          <w:color w:val="auto"/>
          <w:sz w:val="28"/>
          <w:szCs w:val="28"/>
          <w:highlight w:val="none"/>
        </w:rPr>
        <w:t>保障群众获得高质量、有效率、能负担的医药服务</w:t>
      </w:r>
      <w:r>
        <w:rPr>
          <w:rFonts w:hint="eastAsia" w:ascii="仿宋" w:hAnsi="仿宋" w:eastAsia="仿宋"/>
          <w:color w:val="auto"/>
          <w:sz w:val="28"/>
          <w:szCs w:val="28"/>
          <w:highlight w:val="none"/>
        </w:rPr>
        <w:t>。</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4、改革创新原则</w:t>
      </w:r>
    </w:p>
    <w:p>
      <w:pPr>
        <w:spacing w:line="400" w:lineRule="atLeas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坚持</w:t>
      </w:r>
      <w:r>
        <w:rPr>
          <w:rFonts w:hint="eastAsia" w:ascii="仿宋" w:hAnsi="仿宋" w:eastAsia="仿宋"/>
          <w:color w:val="auto"/>
          <w:sz w:val="28"/>
          <w:szCs w:val="28"/>
          <w:highlight w:val="none"/>
        </w:rPr>
        <w:t>问题导向和</w:t>
      </w:r>
      <w:r>
        <w:rPr>
          <w:rFonts w:ascii="仿宋" w:hAnsi="仿宋" w:eastAsia="仿宋"/>
          <w:color w:val="auto"/>
          <w:sz w:val="28"/>
          <w:szCs w:val="28"/>
          <w:highlight w:val="none"/>
        </w:rPr>
        <w:t>治理创新、提质增效，发</w:t>
      </w:r>
      <w:r>
        <w:rPr>
          <w:rFonts w:hint="eastAsia" w:ascii="仿宋" w:hAnsi="仿宋" w:eastAsia="仿宋"/>
          <w:color w:val="auto"/>
          <w:sz w:val="28"/>
          <w:szCs w:val="28"/>
          <w:highlight w:val="none"/>
        </w:rPr>
        <w:t>挥</w:t>
      </w:r>
      <w:r>
        <w:rPr>
          <w:rFonts w:ascii="仿宋" w:hAnsi="仿宋" w:eastAsia="仿宋"/>
          <w:color w:val="auto"/>
          <w:sz w:val="28"/>
          <w:szCs w:val="28"/>
          <w:highlight w:val="none"/>
        </w:rPr>
        <w:t>市场决定性作用，更好</w:t>
      </w:r>
      <w:r>
        <w:rPr>
          <w:rFonts w:hint="eastAsia" w:ascii="仿宋" w:hAnsi="仿宋" w:eastAsia="仿宋"/>
          <w:color w:val="auto"/>
          <w:sz w:val="28"/>
          <w:szCs w:val="28"/>
          <w:highlight w:val="none"/>
        </w:rPr>
        <w:t>地</w:t>
      </w:r>
      <w:r>
        <w:rPr>
          <w:rFonts w:ascii="仿宋" w:hAnsi="仿宋" w:eastAsia="仿宋"/>
          <w:color w:val="auto"/>
          <w:sz w:val="28"/>
          <w:szCs w:val="28"/>
          <w:highlight w:val="none"/>
        </w:rPr>
        <w:t>发挥政府</w:t>
      </w:r>
      <w:r>
        <w:rPr>
          <w:rFonts w:hint="eastAsia" w:ascii="仿宋" w:hAnsi="仿宋" w:eastAsia="仿宋"/>
          <w:color w:val="auto"/>
          <w:sz w:val="28"/>
          <w:szCs w:val="28"/>
          <w:highlight w:val="none"/>
        </w:rPr>
        <w:t>主导</w:t>
      </w:r>
      <w:r>
        <w:rPr>
          <w:rFonts w:ascii="仿宋" w:hAnsi="仿宋" w:eastAsia="仿宋"/>
          <w:color w:val="auto"/>
          <w:sz w:val="28"/>
          <w:szCs w:val="28"/>
          <w:highlight w:val="none"/>
        </w:rPr>
        <w:t>作用，提髙医保治理社会化、法治化、标准化、智能化水平</w:t>
      </w:r>
      <w:r>
        <w:rPr>
          <w:rFonts w:hint="eastAsia" w:ascii="仿宋" w:hAnsi="仿宋" w:eastAsia="仿宋"/>
          <w:color w:val="auto"/>
          <w:sz w:val="28"/>
          <w:szCs w:val="28"/>
          <w:highlight w:val="none"/>
        </w:rPr>
        <w:t>，提升医保服务群众的效能。</w:t>
      </w:r>
    </w:p>
    <w:p>
      <w:pPr>
        <w:pStyle w:val="5"/>
        <w:spacing w:before="140" w:after="20" w:line="400" w:lineRule="atLeast"/>
        <w:ind w:firstLine="562" w:firstLineChars="200"/>
        <w:jc w:val="left"/>
        <w:rPr>
          <w:rFonts w:ascii="仿宋" w:hAnsi="仿宋" w:cs="宋体"/>
          <w:color w:val="auto"/>
          <w:szCs w:val="28"/>
          <w:highlight w:val="none"/>
        </w:rPr>
      </w:pPr>
      <w:bookmarkStart w:id="8" w:name="_Toc52721338"/>
      <w:r>
        <w:rPr>
          <w:rFonts w:hint="eastAsia" w:ascii="仿宋" w:hAnsi="仿宋" w:cs="宋体"/>
          <w:color w:val="auto"/>
          <w:szCs w:val="28"/>
          <w:highlight w:val="none"/>
        </w:rPr>
        <w:t>（三）主要目标</w:t>
      </w:r>
      <w:bookmarkEnd w:id="8"/>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开平市医疗保障“十四五”规划的总体目标是：到</w:t>
      </w:r>
      <w:r>
        <w:rPr>
          <w:rFonts w:ascii="仿宋" w:hAnsi="仿宋" w:eastAsia="仿宋"/>
          <w:color w:val="auto"/>
          <w:sz w:val="28"/>
          <w:szCs w:val="28"/>
          <w:highlight w:val="none"/>
        </w:rPr>
        <w:t>2025年，</w:t>
      </w:r>
      <w:r>
        <w:rPr>
          <w:rFonts w:hint="eastAsia" w:ascii="仿宋" w:hAnsi="仿宋" w:eastAsia="仿宋"/>
          <w:color w:val="auto"/>
          <w:sz w:val="28"/>
          <w:szCs w:val="28"/>
          <w:highlight w:val="none"/>
        </w:rPr>
        <w:t>制度体系基本成熟定型，基本完成待遇保障、筹资运行、医保支付、基金监管等重要机制和医药服务供给、医保管理服务等关键领域的改革任务。建成覆盖全民、制度优化、权责关系清晰、体系结构合理、运行机制高效的多层次医疗保障体系，在全面实现“病有所医”的基础上发展“病有良医”，实现医保的高质量发展。</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1、制度体系基本成熟定型</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一是实现基本医疗保险覆盖全民、依法参加，参保率持续稳定在98%</w:t>
      </w:r>
      <w:r>
        <w:rPr>
          <w:rFonts w:ascii="仿宋" w:hAnsi="仿宋" w:eastAsia="仿宋"/>
          <w:color w:val="auto"/>
          <w:sz w:val="28"/>
          <w:szCs w:val="28"/>
          <w:highlight w:val="none"/>
        </w:rPr>
        <w:t>。二是健全统一规范的医疗救助制度，全面落实资助重点救助对象参保缴费政策，完善住院和门诊医疗费用救助机制，规范“二次救助”政策，实现贫困群众应保尽保，增强医疗救助托底保障力度。三是</w:t>
      </w:r>
      <w:r>
        <w:rPr>
          <w:rFonts w:hint="eastAsia" w:ascii="仿宋" w:hAnsi="仿宋" w:eastAsia="仿宋"/>
          <w:color w:val="auto"/>
          <w:sz w:val="28"/>
          <w:szCs w:val="28"/>
          <w:highlight w:val="none"/>
        </w:rPr>
        <w:t>探索</w:t>
      </w:r>
      <w:r>
        <w:rPr>
          <w:rFonts w:ascii="仿宋" w:hAnsi="仿宋" w:eastAsia="仿宋"/>
          <w:color w:val="auto"/>
          <w:sz w:val="28"/>
          <w:szCs w:val="28"/>
          <w:highlight w:val="none"/>
        </w:rPr>
        <w:t>建</w:t>
      </w:r>
      <w:r>
        <w:rPr>
          <w:rFonts w:hint="eastAsia" w:ascii="仿宋" w:hAnsi="仿宋" w:eastAsia="仿宋"/>
          <w:color w:val="auto"/>
          <w:sz w:val="28"/>
          <w:szCs w:val="28"/>
          <w:highlight w:val="none"/>
        </w:rPr>
        <w:t>立长期护理保险制度，为全市老年人群提供适应的长期护理服务。四是在全面实现生育保险和职工基本医疗保险合并实施的基础上，完善生育保险政策，确保收支平衡。五是促进多层次基本医疗保障体系发展，充分发挥基本医疗保险、大病保险、补充医疗保险、医疗救助多重保障功能，实现政策互补、无缝衔接。</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2、待遇保障公平适度</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落实国家、省和江门市的医疗保障待遇清单制度，规范医保支付政策，逐步统一待遇标准。改革职工医保个人账户，合理调整个人账户划入比例。健全门诊共济保障机制，统筹做好门诊特定病种和普通门诊保障，增强统筹基金对门诊医疗费用的保障能力。健全重大疫情医疗救治医保支付政策，确保参保患者不因费用问题影响就医。积极探索罕见病综合医疗保障机制。</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3、筹资机制稳健可持续</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完善筹资分担和调整机制，建立与开平市经济发展水平相适应、与各方承受能力相匹配、与基本健康需求相协调的筹资机制。切实加强基金运行管理，加强风险预警。适应新业态发展，完善灵活就业人员参保缴费方式，推动各类新业态从业人员和灵活就业人员参加职工医保。均衡个人、用人单位、政府三方筹资缴费责任，厘清责任。加强财政对医保的投入，拓宽医疗救助筹资渠道。</w:t>
      </w:r>
    </w:p>
    <w:p>
      <w:pPr>
        <w:pStyle w:val="2"/>
        <w:spacing w:line="324" w:lineRule="auto"/>
        <w:ind w:firstLine="562" w:firstLineChars="200"/>
        <w:rPr>
          <w:rFonts w:ascii="仿宋" w:hAnsi="仿宋" w:eastAsia="仿宋"/>
          <w:color w:val="auto"/>
          <w:sz w:val="28"/>
          <w:szCs w:val="28"/>
          <w:highlight w:val="none"/>
        </w:rPr>
      </w:pPr>
      <w:r>
        <w:rPr>
          <w:rFonts w:hint="eastAsia" w:ascii="仿宋" w:hAnsi="仿宋" w:eastAsia="仿宋"/>
          <w:b/>
          <w:color w:val="auto"/>
          <w:sz w:val="28"/>
          <w:szCs w:val="28"/>
          <w:highlight w:val="none"/>
        </w:rPr>
        <w:t>4、医药服务管理高效运行。</w:t>
      </w:r>
      <w:r>
        <w:rPr>
          <w:rFonts w:hint="eastAsia" w:ascii="仿宋" w:hAnsi="仿宋" w:eastAsia="仿宋"/>
          <w:color w:val="auto"/>
          <w:sz w:val="28"/>
          <w:szCs w:val="28"/>
          <w:highlight w:val="none"/>
        </w:rPr>
        <w:t>在国家、省和江门市的统筹下，完善药品和医用耗材集中采购制度，</w:t>
      </w:r>
      <w:r>
        <w:rPr>
          <w:rFonts w:ascii="仿宋" w:hAnsi="仿宋" w:eastAsia="仿宋"/>
          <w:color w:val="auto"/>
          <w:sz w:val="28"/>
          <w:szCs w:val="28"/>
          <w:highlight w:val="none"/>
        </w:rPr>
        <w:t>深化药品、医用耗材集团带量采购制度改革</w:t>
      </w:r>
      <w:r>
        <w:rPr>
          <w:rFonts w:hint="eastAsia" w:ascii="仿宋" w:hAnsi="仿宋" w:eastAsia="仿宋"/>
          <w:color w:val="auto"/>
          <w:sz w:val="28"/>
          <w:szCs w:val="28"/>
          <w:highlight w:val="none"/>
        </w:rPr>
        <w:t>。配合上级医保部门</w:t>
      </w:r>
      <w:r>
        <w:rPr>
          <w:rFonts w:ascii="仿宋" w:hAnsi="仿宋" w:eastAsia="仿宋"/>
          <w:color w:val="auto"/>
          <w:sz w:val="28"/>
          <w:szCs w:val="28"/>
          <w:highlight w:val="none"/>
        </w:rPr>
        <w:t>完善医药服务价格形成机制，建立以市场为主导的药品、医用耗材价格形成机制。</w:t>
      </w:r>
      <w:r>
        <w:rPr>
          <w:rFonts w:hint="eastAsia" w:ascii="仿宋" w:hAnsi="仿宋" w:eastAsia="仿宋"/>
          <w:color w:val="auto"/>
          <w:sz w:val="28"/>
          <w:szCs w:val="28"/>
          <w:highlight w:val="none"/>
        </w:rPr>
        <w:t>建立医疗服务日常监管机制，建立和完善医药价格、病种费用等信息监测与信息披露制度，开展医药价格和招采信用评价。建立医保医药服务考核评价体系，突出行为规范、服务质量、费用控制和群众满意度的考核评价，将考核结果与医保基金支付挂钩，完善定点医药机构退出机制，实现动态管理。</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5、治理机制创新优化</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是深化医疗保险支付制度改革。全面推行总额预算管理下的复合式付费方式，优化支付方式，实现基金支出稳定可控。实行精细化管理，激发医疗机构规范行为、控制成本、合理收治和转诊患者的内生动力。二是</w:t>
      </w:r>
      <w:r>
        <w:rPr>
          <w:rFonts w:ascii="仿宋" w:hAnsi="仿宋" w:eastAsia="仿宋"/>
          <w:color w:val="auto"/>
          <w:sz w:val="28"/>
          <w:szCs w:val="28"/>
          <w:highlight w:val="none"/>
        </w:rPr>
        <w:t>完善基本医保全国联网和异地就医直接结算，健全异地转诊的政策措施，加强参保地与就医地协作，方便群众结算，减少群众“跑腿”、“垫资”。</w:t>
      </w:r>
      <w:r>
        <w:rPr>
          <w:rFonts w:hint="eastAsia" w:ascii="仿宋" w:hAnsi="仿宋" w:eastAsia="仿宋"/>
          <w:color w:val="auto"/>
          <w:sz w:val="28"/>
          <w:szCs w:val="28"/>
          <w:highlight w:val="none"/>
        </w:rPr>
        <w:t xml:space="preserve"> 三是根据国家医疗保障信息平台建设指南和标准规范，在省政府“数字政府”统一框架体系下，按照“统一、高效、兼容、便捷、安全”总目标，协助构建医疗保障信息系统。四</w:t>
      </w:r>
      <w:r>
        <w:rPr>
          <w:rFonts w:ascii="仿宋" w:hAnsi="仿宋" w:eastAsia="仿宋"/>
          <w:color w:val="auto"/>
          <w:sz w:val="28"/>
          <w:szCs w:val="28"/>
          <w:highlight w:val="none"/>
        </w:rPr>
        <w:t>是</w:t>
      </w:r>
      <w:r>
        <w:rPr>
          <w:rFonts w:hint="eastAsia" w:ascii="仿宋" w:hAnsi="仿宋" w:eastAsia="仿宋"/>
          <w:color w:val="auto"/>
          <w:sz w:val="28"/>
          <w:szCs w:val="28"/>
          <w:highlight w:val="none"/>
        </w:rPr>
        <w:t>健全严密有力的基金监管机制。加强基金监管方式创新和信用体系建设，提高智能监控水平，建立适合开平市实际的长效监管方式。五是提升决策科学化水平。建立医保基金收支精算平衡机制，建立医保基金预警模型，运用大数据技术辅助决策，支持民间智库开展医保相关研究。</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6、法治化水平不断提升</w:t>
      </w:r>
    </w:p>
    <w:p>
      <w:pPr>
        <w:spacing w:line="40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协助上级医保部门推进医疗保障的法治建设，提升医疗保障的法治化水平。</w:t>
      </w:r>
      <w:r>
        <w:rPr>
          <w:rFonts w:hint="eastAsia" w:ascii="仿宋_GB2312" w:hAnsi="仿宋_GB2312" w:eastAsia="仿宋_GB2312" w:cs="仿宋_GB2312"/>
          <w:color w:val="auto"/>
          <w:kern w:val="0"/>
          <w:sz w:val="28"/>
          <w:szCs w:val="28"/>
          <w:highlight w:val="none"/>
          <w:lang w:val="zh-TW" w:bidi="zh-TW"/>
        </w:rPr>
        <w:t>落实《医疗保障基金使用监督管理条例》</w:t>
      </w:r>
      <w:r>
        <w:rPr>
          <w:rFonts w:hint="eastAsia" w:ascii="仿宋" w:hAnsi="仿宋" w:eastAsia="仿宋"/>
          <w:color w:val="auto"/>
          <w:sz w:val="28"/>
          <w:szCs w:val="28"/>
          <w:highlight w:val="none"/>
        </w:rPr>
        <w:t>，规范医疗保障基金监督管理，确保医疗保障基金安全。实现医疗保障基金监管法治化，做到有法可依。加强医保执法，避免行政不作为，确保执法到位，探索建立专业、成熟的医疗保障执法队伍和管理规范，持续打击欺诈骗保行为</w:t>
      </w:r>
      <w:r>
        <w:rPr>
          <w:rFonts w:hint="eastAsia" w:ascii="仿宋_GB2312" w:hAnsi="仿宋_GB2312" w:eastAsia="仿宋_GB2312" w:cs="仿宋_GB2312"/>
          <w:color w:val="auto"/>
          <w:kern w:val="0"/>
          <w:sz w:val="28"/>
          <w:szCs w:val="28"/>
          <w:highlight w:val="none"/>
          <w:lang w:val="zh-TW" w:bidi="zh-TW"/>
        </w:rPr>
        <w:t>，引导全社会增强医保法治意识和法治责任</w:t>
      </w:r>
      <w:r>
        <w:rPr>
          <w:rFonts w:hint="eastAsia" w:ascii="仿宋" w:hAnsi="仿宋" w:eastAsia="仿宋"/>
          <w:color w:val="auto"/>
          <w:sz w:val="28"/>
          <w:szCs w:val="28"/>
          <w:highlight w:val="none"/>
        </w:rPr>
        <w:t>。</w:t>
      </w:r>
    </w:p>
    <w:p>
      <w:pPr>
        <w:pStyle w:val="5"/>
        <w:spacing w:before="140" w:after="20" w:line="400" w:lineRule="atLeast"/>
        <w:ind w:firstLine="562" w:firstLineChars="200"/>
        <w:jc w:val="left"/>
        <w:rPr>
          <w:rFonts w:ascii="仿宋" w:hAnsi="仿宋" w:cs="宋体"/>
          <w:color w:val="auto"/>
          <w:szCs w:val="28"/>
          <w:highlight w:val="none"/>
        </w:rPr>
      </w:pPr>
      <w:bookmarkStart w:id="9" w:name="_Toc52721339"/>
      <w:r>
        <w:rPr>
          <w:rFonts w:hint="eastAsia" w:ascii="仿宋" w:hAnsi="仿宋" w:cs="宋体"/>
          <w:color w:val="auto"/>
          <w:szCs w:val="28"/>
          <w:highlight w:val="none"/>
        </w:rPr>
        <w:t>（四）关键指标</w:t>
      </w:r>
      <w:bookmarkEnd w:id="9"/>
    </w:p>
    <w:p>
      <w:pPr>
        <w:pBdr>
          <w:bottom w:val="single" w:color="FFFFFF" w:sz="4" w:space="31"/>
        </w:pBdr>
        <w:tabs>
          <w:tab w:val="left" w:pos="1440"/>
        </w:tabs>
        <w:spacing w:line="400" w:lineRule="atLeast"/>
        <w:ind w:firstLine="560" w:firstLineChars="200"/>
        <w:rPr>
          <w:rFonts w:ascii="仿宋" w:hAnsi="仿宋" w:eastAsia="仿宋"/>
          <w:b/>
          <w:i/>
          <w:color w:val="auto"/>
          <w:sz w:val="28"/>
          <w:szCs w:val="28"/>
          <w:highlight w:val="none"/>
        </w:rPr>
      </w:pPr>
      <w:r>
        <w:rPr>
          <w:rFonts w:hint="eastAsia" w:ascii="仿宋" w:hAnsi="仿宋" w:eastAsia="仿宋"/>
          <w:color w:val="auto"/>
          <w:sz w:val="28"/>
          <w:szCs w:val="28"/>
          <w:highlight w:val="none"/>
        </w:rPr>
        <w:t>基于上述思路与发展目标，设定若干考核指标，见表1。</w:t>
      </w:r>
    </w:p>
    <w:p>
      <w:pPr>
        <w:pBdr>
          <w:bottom w:val="single" w:color="FFFFFF" w:sz="4" w:space="31"/>
        </w:pBdr>
        <w:spacing w:line="400" w:lineRule="atLeast"/>
        <w:ind w:firstLine="2277" w:firstLineChars="945"/>
        <w:rPr>
          <w:rFonts w:ascii="仿宋" w:hAnsi="仿宋" w:eastAsia="仿宋"/>
          <w:b/>
          <w:bCs/>
          <w:i/>
          <w:iCs/>
          <w:color w:val="auto"/>
          <w:sz w:val="28"/>
          <w:szCs w:val="28"/>
          <w:highlight w:val="none"/>
        </w:rPr>
      </w:pPr>
      <w:r>
        <w:rPr>
          <w:rFonts w:hint="eastAsia" w:ascii="楷体" w:hAnsi="楷体" w:eastAsia="楷体" w:cs="Songti SC Regular"/>
          <w:b/>
          <w:bCs/>
          <w:color w:val="auto"/>
          <w:sz w:val="24"/>
          <w:highlight w:val="none"/>
        </w:rPr>
        <w:t>表1  “十四五”医疗保障考核指标</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1133"/>
        <w:gridCol w:w="1416"/>
        <w:gridCol w:w="127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等线"/>
                <w:b/>
                <w:bCs/>
                <w:color w:val="auto"/>
                <w:kern w:val="0"/>
                <w:sz w:val="24"/>
                <w:highlight w:val="none"/>
              </w:rPr>
            </w:pPr>
            <w:r>
              <w:rPr>
                <w:rFonts w:hint="eastAsia" w:ascii="楷体" w:hAnsi="楷体" w:eastAsia="楷体" w:cs="等线"/>
                <w:b/>
                <w:bCs/>
                <w:color w:val="auto"/>
                <w:kern w:val="0"/>
                <w:sz w:val="24"/>
                <w:highlight w:val="none"/>
              </w:rPr>
              <w:t>考核指标</w:t>
            </w:r>
          </w:p>
        </w:tc>
        <w:tc>
          <w:tcPr>
            <w:tcW w:w="1133"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b/>
                <w:bCs/>
                <w:color w:val="auto"/>
                <w:kern w:val="0"/>
                <w:sz w:val="24"/>
                <w:highlight w:val="none"/>
              </w:rPr>
            </w:pPr>
            <w:r>
              <w:rPr>
                <w:rFonts w:hint="eastAsia" w:ascii="楷体" w:hAnsi="楷体" w:eastAsia="楷体" w:cs="等线"/>
                <w:b/>
                <w:bCs/>
                <w:color w:val="auto"/>
                <w:kern w:val="0"/>
                <w:sz w:val="24"/>
                <w:highlight w:val="none"/>
              </w:rPr>
              <w:t>2020年实际数</w:t>
            </w:r>
          </w:p>
        </w:tc>
        <w:tc>
          <w:tcPr>
            <w:tcW w:w="1416"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b/>
                <w:bCs/>
                <w:color w:val="auto"/>
                <w:kern w:val="0"/>
                <w:sz w:val="24"/>
                <w:highlight w:val="none"/>
              </w:rPr>
            </w:pPr>
            <w:r>
              <w:rPr>
                <w:rFonts w:hint="eastAsia" w:ascii="楷体" w:hAnsi="楷体" w:eastAsia="楷体" w:cs="等线"/>
                <w:b/>
                <w:bCs/>
                <w:color w:val="auto"/>
                <w:kern w:val="0"/>
                <w:sz w:val="24"/>
                <w:highlight w:val="none"/>
              </w:rPr>
              <w:t>2025年目标值</w:t>
            </w:r>
          </w:p>
        </w:tc>
        <w:tc>
          <w:tcPr>
            <w:tcW w:w="1275"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b/>
                <w:bCs/>
                <w:color w:val="auto"/>
                <w:kern w:val="0"/>
                <w:sz w:val="24"/>
                <w:highlight w:val="none"/>
              </w:rPr>
            </w:pPr>
            <w:r>
              <w:rPr>
                <w:rFonts w:hint="eastAsia" w:ascii="楷体" w:hAnsi="楷体" w:eastAsia="楷体" w:cs="等线"/>
                <w:b/>
                <w:bCs/>
                <w:color w:val="auto"/>
                <w:kern w:val="0"/>
                <w:sz w:val="24"/>
                <w:highlight w:val="none"/>
              </w:rPr>
              <w:t>考察维度</w:t>
            </w:r>
          </w:p>
        </w:tc>
        <w:tc>
          <w:tcPr>
            <w:tcW w:w="991"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b/>
                <w:bCs/>
                <w:color w:val="auto"/>
                <w:kern w:val="0"/>
                <w:sz w:val="24"/>
                <w:highlight w:val="none"/>
              </w:rPr>
            </w:pPr>
            <w:r>
              <w:rPr>
                <w:rFonts w:hint="eastAsia" w:ascii="楷体" w:hAnsi="楷体" w:eastAsia="楷体" w:cs="等线"/>
                <w:b/>
                <w:bCs/>
                <w:color w:val="auto"/>
                <w:kern w:val="0"/>
                <w:sz w:val="24"/>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116"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参保率</w:t>
            </w:r>
          </w:p>
        </w:tc>
        <w:tc>
          <w:tcPr>
            <w:tcW w:w="1133" w:type="dxa"/>
            <w:tcBorders>
              <w:top w:val="single" w:color="auto" w:sz="4" w:space="0"/>
              <w:left w:val="nil"/>
              <w:bottom w:val="single" w:color="auto" w:sz="4" w:space="0"/>
              <w:right w:val="single" w:color="auto" w:sz="4" w:space="0"/>
            </w:tcBorders>
            <w:vAlign w:val="center"/>
          </w:tcPr>
          <w:p>
            <w:pPr>
              <w:ind w:firstLine="240" w:firstLineChars="100"/>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98%</w:t>
            </w:r>
          </w:p>
        </w:tc>
        <w:tc>
          <w:tcPr>
            <w:tcW w:w="1416"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highlight w:val="none"/>
              </w:rPr>
              <w:t>≥98%</w:t>
            </w:r>
          </w:p>
        </w:tc>
        <w:tc>
          <w:tcPr>
            <w:tcW w:w="1275"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覆盖范围</w:t>
            </w:r>
          </w:p>
        </w:tc>
        <w:tc>
          <w:tcPr>
            <w:tcW w:w="991"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基本医保政策范围内住院报销比例</w:t>
            </w:r>
          </w:p>
        </w:tc>
        <w:tc>
          <w:tcPr>
            <w:tcW w:w="1133"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75%</w:t>
            </w:r>
          </w:p>
        </w:tc>
        <w:tc>
          <w:tcPr>
            <w:tcW w:w="1416"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Cs w:val="21"/>
                <w:highlight w:val="none"/>
              </w:rPr>
            </w:pPr>
            <w:r>
              <w:rPr>
                <w:rFonts w:hint="eastAsia" w:ascii="楷体" w:hAnsi="楷体" w:eastAsia="楷体" w:cs="等线"/>
                <w:color w:val="auto"/>
                <w:kern w:val="0"/>
                <w:highlight w:val="none"/>
              </w:rPr>
              <w:t>75%左右</w:t>
            </w:r>
          </w:p>
        </w:tc>
        <w:tc>
          <w:tcPr>
            <w:tcW w:w="1275"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保障程度</w:t>
            </w:r>
          </w:p>
        </w:tc>
        <w:tc>
          <w:tcPr>
            <w:tcW w:w="991"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职工、居民医保基金结余支付能力</w:t>
            </w:r>
          </w:p>
        </w:tc>
        <w:tc>
          <w:tcPr>
            <w:tcW w:w="1133" w:type="dxa"/>
            <w:tcBorders>
              <w:top w:val="single" w:color="auto" w:sz="4" w:space="0"/>
              <w:left w:val="nil"/>
              <w:bottom w:val="single" w:color="auto" w:sz="4" w:space="0"/>
              <w:right w:val="single" w:color="auto" w:sz="4" w:space="0"/>
            </w:tcBorders>
            <w:vAlign w:val="center"/>
          </w:tcPr>
          <w:p>
            <w:pPr>
              <w:rPr>
                <w:rFonts w:ascii="楷体" w:hAnsi="楷体" w:eastAsia="楷体" w:cs="等线"/>
                <w:color w:val="auto"/>
                <w:kern w:val="0"/>
                <w:sz w:val="24"/>
                <w:highlight w:val="none"/>
              </w:rPr>
            </w:pPr>
            <w:r>
              <w:rPr>
                <w:rFonts w:hint="eastAsia"/>
                <w:color w:val="auto"/>
                <w:highlight w:val="none"/>
              </w:rPr>
              <w:t>＞</w:t>
            </w:r>
            <w:r>
              <w:rPr>
                <w:rFonts w:hint="eastAsia" w:ascii="楷体" w:hAnsi="楷体" w:eastAsia="楷体" w:cs="等线"/>
                <w:color w:val="auto"/>
                <w:kern w:val="0"/>
                <w:highlight w:val="none"/>
              </w:rPr>
              <w:t>6个月</w:t>
            </w:r>
          </w:p>
        </w:tc>
        <w:tc>
          <w:tcPr>
            <w:tcW w:w="1416"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Cs w:val="21"/>
                <w:highlight w:val="none"/>
              </w:rPr>
            </w:pPr>
            <w:r>
              <w:rPr>
                <w:rFonts w:hint="eastAsia" w:ascii="楷体" w:hAnsi="楷体" w:eastAsia="楷体" w:cs="等线"/>
                <w:color w:val="auto"/>
                <w:kern w:val="0"/>
                <w:highlight w:val="none"/>
              </w:rPr>
              <w:t>≥6个月</w:t>
            </w:r>
          </w:p>
        </w:tc>
        <w:tc>
          <w:tcPr>
            <w:tcW w:w="1275"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稳健持续</w:t>
            </w:r>
          </w:p>
        </w:tc>
        <w:tc>
          <w:tcPr>
            <w:tcW w:w="991" w:type="dxa"/>
            <w:tcBorders>
              <w:top w:val="single" w:color="auto" w:sz="4" w:space="0"/>
              <w:left w:val="nil"/>
              <w:bottom w:val="single" w:color="auto" w:sz="4" w:space="0"/>
              <w:right w:val="single" w:color="auto" w:sz="4" w:space="0"/>
            </w:tcBorders>
            <w:vAlign w:val="center"/>
          </w:tcPr>
          <w:p>
            <w:pPr>
              <w:jc w:val="center"/>
              <w:rPr>
                <w:rFonts w:ascii="楷体" w:hAnsi="楷体" w:eastAsia="楷体" w:cs="等线"/>
                <w:color w:val="auto"/>
                <w:kern w:val="0"/>
                <w:sz w:val="24"/>
                <w:highlight w:val="none"/>
              </w:rPr>
            </w:pPr>
            <w:r>
              <w:rPr>
                <w:rFonts w:hint="eastAsia" w:ascii="楷体" w:hAnsi="楷体" w:eastAsia="楷体" w:cs="等线"/>
                <w:color w:val="auto"/>
                <w:kern w:val="0"/>
                <w:sz w:val="24"/>
                <w:highlight w:val="none"/>
              </w:rPr>
              <w:t>约束性</w:t>
            </w:r>
          </w:p>
        </w:tc>
      </w:tr>
    </w:tbl>
    <w:p>
      <w:pPr>
        <w:spacing w:line="400" w:lineRule="atLeast"/>
        <w:ind w:firstLine="480" w:firstLineChars="200"/>
        <w:rPr>
          <w:rFonts w:hint="eastAsia" w:ascii="楷体" w:hAnsi="楷体" w:eastAsia="楷体" w:cs="仿宋"/>
          <w:color w:val="auto"/>
          <w:sz w:val="24"/>
          <w:highlight w:val="none"/>
        </w:rPr>
      </w:pPr>
      <w:r>
        <w:rPr>
          <w:rFonts w:hint="eastAsia" w:ascii="楷体" w:hAnsi="楷体" w:eastAsia="楷体" w:cs="仿宋"/>
          <w:color w:val="auto"/>
          <w:sz w:val="24"/>
          <w:highlight w:val="none"/>
        </w:rPr>
        <w:t>*指标解读</w:t>
      </w:r>
    </w:p>
    <w:p>
      <w:pPr>
        <w:spacing w:line="400" w:lineRule="atLeast"/>
        <w:ind w:firstLine="480" w:firstLineChars="200"/>
        <w:rPr>
          <w:rFonts w:hint="eastAsia" w:ascii="楷体" w:hAnsi="楷体" w:eastAsia="楷体" w:cs="仿宋"/>
          <w:color w:val="auto"/>
          <w:sz w:val="24"/>
          <w:highlight w:val="none"/>
        </w:rPr>
      </w:pPr>
      <w:r>
        <w:rPr>
          <w:rFonts w:hint="eastAsia" w:ascii="楷体" w:hAnsi="楷体" w:eastAsia="楷体" w:cs="仿宋"/>
          <w:color w:val="auto"/>
          <w:sz w:val="24"/>
          <w:highlight w:val="none"/>
        </w:rPr>
        <w:t>（1）参保率是衡量实现人人享有基本医疗保障覆盖目标和普惠性的关键数据。此处的参保率是指户籍人口和缴纳职工医保对象的常住人口的参保率。</w:t>
      </w:r>
    </w:p>
    <w:p>
      <w:pPr>
        <w:spacing w:line="400" w:lineRule="atLeast"/>
        <w:ind w:firstLine="480" w:firstLineChars="200"/>
        <w:rPr>
          <w:rFonts w:hint="eastAsia" w:ascii="楷体" w:hAnsi="楷体" w:eastAsia="楷体" w:cs="仿宋"/>
          <w:color w:val="auto"/>
          <w:sz w:val="24"/>
          <w:highlight w:val="none"/>
        </w:rPr>
      </w:pPr>
      <w:r>
        <w:rPr>
          <w:rFonts w:hint="eastAsia" w:ascii="楷体" w:hAnsi="楷体" w:eastAsia="楷体" w:cs="仿宋"/>
          <w:color w:val="auto"/>
          <w:sz w:val="24"/>
          <w:highlight w:val="none"/>
        </w:rPr>
        <w:t>（2）报销比例是衡量人民疾病医疗后顾之忧的关键指标。此处的报销比例是指一级、二级、三级医疗机构的综合报销比例。</w:t>
      </w:r>
    </w:p>
    <w:p>
      <w:pPr>
        <w:spacing w:line="400" w:lineRule="atLeast"/>
        <w:ind w:firstLine="480" w:firstLineChars="200"/>
        <w:rPr>
          <w:rFonts w:hint="eastAsia" w:ascii="楷体" w:hAnsi="楷体" w:eastAsia="楷体" w:cs="仿宋"/>
          <w:color w:val="auto"/>
          <w:sz w:val="24"/>
          <w:highlight w:val="none"/>
        </w:rPr>
      </w:pPr>
      <w:r>
        <w:rPr>
          <w:rFonts w:hint="eastAsia" w:ascii="楷体" w:hAnsi="楷体" w:eastAsia="楷体" w:cs="仿宋"/>
          <w:color w:val="auto"/>
          <w:sz w:val="24"/>
          <w:highlight w:val="none"/>
        </w:rPr>
        <w:t>（3）职工、居民医保基金结余支付能力是考核基金平衡与运行持续性的动态指标。医保制度通常采取现收现付的财务机制，以追求年度收支预算平衡为基本目标，同时，考虑到医疗费用的合理增长，一般会考虑适度结余。</w:t>
      </w:r>
    </w:p>
    <w:p>
      <w:pPr>
        <w:spacing w:line="400" w:lineRule="atLeast"/>
        <w:ind w:firstLine="480" w:firstLineChars="200"/>
        <w:rPr>
          <w:rFonts w:ascii="楷体" w:hAnsi="楷体" w:eastAsia="楷体" w:cs="仿宋"/>
          <w:color w:val="auto"/>
          <w:sz w:val="24"/>
          <w:highlight w:val="none"/>
        </w:rPr>
      </w:pPr>
    </w:p>
    <w:p>
      <w:pPr>
        <w:pStyle w:val="4"/>
        <w:spacing w:before="20" w:after="140"/>
        <w:ind w:firstLine="643"/>
        <w:jc w:val="center"/>
        <w:rPr>
          <w:rStyle w:val="18"/>
          <w:rFonts w:ascii="宋体" w:hAnsi="宋体" w:eastAsia="宋体" w:cs="黑体"/>
          <w:b/>
          <w:bCs/>
          <w:color w:val="auto"/>
          <w:szCs w:val="32"/>
          <w:highlight w:val="none"/>
        </w:rPr>
      </w:pPr>
      <w:bookmarkStart w:id="10" w:name="_Toc52721340"/>
      <w:r>
        <w:rPr>
          <w:rStyle w:val="18"/>
          <w:rFonts w:hint="eastAsia" w:ascii="宋体" w:hAnsi="宋体" w:eastAsia="宋体" w:cs="黑体"/>
          <w:b/>
          <w:bCs/>
          <w:color w:val="auto"/>
          <w:szCs w:val="32"/>
          <w:highlight w:val="none"/>
        </w:rPr>
        <w:t>三、重点任务</w:t>
      </w:r>
      <w:bookmarkEnd w:id="10"/>
    </w:p>
    <w:p>
      <w:pPr>
        <w:pStyle w:val="5"/>
        <w:spacing w:before="140" w:after="20" w:line="400" w:lineRule="atLeast"/>
        <w:ind w:firstLine="562" w:firstLineChars="200"/>
        <w:jc w:val="left"/>
        <w:rPr>
          <w:rFonts w:ascii="仿宋" w:hAnsi="仿宋" w:cs="宋体"/>
          <w:color w:val="auto"/>
          <w:szCs w:val="28"/>
          <w:highlight w:val="none"/>
        </w:rPr>
      </w:pPr>
      <w:bookmarkStart w:id="11" w:name="_Toc52721341"/>
      <w:r>
        <w:rPr>
          <w:rFonts w:hint="eastAsia" w:ascii="仿宋" w:hAnsi="仿宋" w:cs="宋体"/>
          <w:color w:val="auto"/>
          <w:szCs w:val="28"/>
          <w:highlight w:val="none"/>
        </w:rPr>
        <w:t>（一）</w:t>
      </w:r>
      <w:r>
        <w:rPr>
          <w:rFonts w:hint="eastAsia" w:ascii="仿宋" w:hAnsi="仿宋"/>
          <w:bCs/>
          <w:color w:val="auto"/>
          <w:szCs w:val="28"/>
          <w:highlight w:val="none"/>
        </w:rPr>
        <w:t>完善多层次医疗保障体系</w:t>
      </w:r>
      <w:bookmarkEnd w:id="11"/>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1、优化基本医疗保险制度</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——优化城乡居民基本医保制度。</w:t>
      </w:r>
      <w:r>
        <w:rPr>
          <w:rFonts w:hint="eastAsia" w:ascii="仿宋" w:hAnsi="仿宋" w:eastAsia="仿宋"/>
          <w:color w:val="auto"/>
          <w:sz w:val="28"/>
          <w:szCs w:val="28"/>
          <w:highlight w:val="none"/>
        </w:rPr>
        <w:t>城乡居民由自愿参保转为“自动”参保，继续将新兴行业务工人员纳入医疗保障体系作为重点工作推进，实现基本医疗保险“应保尽保”。适度提高职工和居民住院报销比例。按照国家医疗保障待遇清单要求，科学界定医疗保障制度的待遇水平、基金支付项目和标准，严格执行国家基本支付范围和标准，实施公平适度保障。适当提升重点患者群体的待遇保障水平。</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——优化大病保险财政补助政策。</w:t>
      </w:r>
      <w:r>
        <w:rPr>
          <w:rFonts w:hint="eastAsia" w:ascii="仿宋" w:hAnsi="仿宋" w:eastAsia="仿宋"/>
          <w:color w:val="auto"/>
          <w:sz w:val="28"/>
          <w:szCs w:val="28"/>
          <w:highlight w:val="none"/>
        </w:rPr>
        <w:t>根据经济发展水平和基金承受能力适度提高大病保险保障水平，强化大病保险与基本医疗保险及医疗救助三重法定医疗保障制度的衔接。</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——进一步健全医疗救助制度。</w:t>
      </w:r>
      <w:r>
        <w:rPr>
          <w:rFonts w:hint="eastAsia" w:ascii="仿宋" w:hAnsi="仿宋" w:eastAsia="仿宋"/>
          <w:color w:val="auto"/>
          <w:sz w:val="28"/>
          <w:szCs w:val="28"/>
          <w:highlight w:val="none"/>
        </w:rPr>
        <w:t>优化救助对象及时精准识别机制，科学确定救助范围，适度拓宽救助对象范围，规范救助标准，理顺经办管理，形成包括资助参保、医疗救助（包括二次救助）的医疗救助体系。各级财政应适度加大对医疗救助的投入，明确各级财政的负担比例。积极探索多渠道的筹资来源以满足救助需要和可持续性。</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——积极引导商业性健康保险的发展。</w:t>
      </w:r>
      <w:r>
        <w:rPr>
          <w:rFonts w:ascii="仿宋" w:hAnsi="仿宋" w:eastAsia="仿宋"/>
          <w:color w:val="auto"/>
          <w:sz w:val="28"/>
          <w:szCs w:val="28"/>
          <w:highlight w:val="none"/>
        </w:rPr>
        <w:t>通过政策引导与强化市场竞争等手段，</w:t>
      </w:r>
      <w:r>
        <w:rPr>
          <w:rFonts w:hint="eastAsia" w:ascii="仿宋" w:hAnsi="仿宋" w:eastAsia="仿宋"/>
          <w:color w:val="auto"/>
          <w:sz w:val="28"/>
          <w:szCs w:val="28"/>
          <w:highlight w:val="none"/>
        </w:rPr>
        <w:t>激励</w:t>
      </w:r>
      <w:r>
        <w:rPr>
          <w:rFonts w:ascii="仿宋" w:hAnsi="仿宋" w:eastAsia="仿宋"/>
          <w:color w:val="auto"/>
          <w:sz w:val="28"/>
          <w:szCs w:val="28"/>
          <w:highlight w:val="none"/>
        </w:rPr>
        <w:t>保险公司开发“适销对路”的医疗与健康保障系列产品，在社会医保报销目录之外扩大病</w:t>
      </w:r>
      <w:r>
        <w:rPr>
          <w:rFonts w:hint="eastAsia" w:ascii="仿宋" w:hAnsi="仿宋" w:eastAsia="仿宋"/>
          <w:color w:val="auto"/>
          <w:sz w:val="28"/>
          <w:szCs w:val="28"/>
          <w:highlight w:val="none"/>
        </w:rPr>
        <w:t>种、药品、医疗服务的报销范围，提高赔付标准，</w:t>
      </w:r>
      <w:r>
        <w:rPr>
          <w:rFonts w:ascii="仿宋" w:hAnsi="仿宋" w:eastAsia="仿宋"/>
          <w:color w:val="auto"/>
          <w:sz w:val="28"/>
          <w:szCs w:val="28"/>
          <w:highlight w:val="none"/>
        </w:rPr>
        <w:t>以满足</w:t>
      </w:r>
      <w:r>
        <w:rPr>
          <w:rFonts w:hint="eastAsia" w:ascii="仿宋" w:hAnsi="仿宋" w:eastAsia="仿宋"/>
          <w:color w:val="auto"/>
          <w:sz w:val="28"/>
          <w:szCs w:val="28"/>
          <w:highlight w:val="none"/>
        </w:rPr>
        <w:t>不同收入群体的</w:t>
      </w:r>
      <w:r>
        <w:rPr>
          <w:rFonts w:ascii="仿宋" w:hAnsi="仿宋" w:eastAsia="仿宋"/>
          <w:color w:val="auto"/>
          <w:sz w:val="28"/>
          <w:szCs w:val="28"/>
          <w:highlight w:val="none"/>
        </w:rPr>
        <w:t>多层次、多样化和个性化</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医疗保障</w:t>
      </w:r>
      <w:r>
        <w:rPr>
          <w:rFonts w:hint="eastAsia" w:ascii="仿宋" w:hAnsi="仿宋" w:eastAsia="仿宋"/>
          <w:color w:val="auto"/>
          <w:sz w:val="28"/>
          <w:szCs w:val="28"/>
          <w:highlight w:val="none"/>
        </w:rPr>
        <w:t>需求。</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2、发展针对重点人群的医疗保障制度</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——加强对相对贫困人员的医疗保障。</w:t>
      </w:r>
      <w:r>
        <w:rPr>
          <w:rFonts w:hint="eastAsia" w:ascii="仿宋" w:hAnsi="仿宋" w:eastAsia="仿宋"/>
          <w:color w:val="auto"/>
          <w:sz w:val="28"/>
          <w:szCs w:val="28"/>
          <w:highlight w:val="none"/>
        </w:rPr>
        <w:t>建立相对贫困人员的信息共享平台，加强医保局和</w:t>
      </w:r>
      <w:r>
        <w:rPr>
          <w:rFonts w:hint="eastAsia" w:ascii="仿宋" w:hAnsi="仿宋" w:eastAsia="仿宋"/>
          <w:color w:val="auto"/>
          <w:sz w:val="28"/>
          <w:szCs w:val="28"/>
          <w:highlight w:val="none"/>
          <w:lang w:eastAsia="zh-CN"/>
        </w:rPr>
        <w:t>乡村振兴局</w:t>
      </w:r>
      <w:r>
        <w:rPr>
          <w:rFonts w:hint="eastAsia" w:ascii="仿宋" w:hAnsi="仿宋" w:eastAsia="仿宋"/>
          <w:color w:val="auto"/>
          <w:sz w:val="28"/>
          <w:szCs w:val="28"/>
          <w:highlight w:val="none"/>
        </w:rPr>
        <w:t>两部门之间的有机联动。加强动态监测，构建多层次医疗救助体系，完善医疗救助政策，增强医疗救助兜底力度，建立防范和化解因病致贫长效机制。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——探索建立罕见病人群综合性医疗救助与保障体系</w:t>
      </w:r>
      <w:r>
        <w:rPr>
          <w:rFonts w:hint="eastAsia" w:ascii="仿宋" w:hAnsi="仿宋" w:eastAsia="仿宋"/>
          <w:color w:val="auto"/>
          <w:sz w:val="28"/>
          <w:szCs w:val="28"/>
          <w:highlight w:val="none"/>
        </w:rPr>
        <w:t>。在现有医疗救助政策框架下向罕见病患者予以救助倾斜，</w:t>
      </w:r>
      <w:r>
        <w:rPr>
          <w:rFonts w:ascii="仿宋" w:hAnsi="仿宋" w:eastAsia="仿宋"/>
          <w:color w:val="auto"/>
          <w:sz w:val="28"/>
          <w:szCs w:val="28"/>
          <w:highlight w:val="none"/>
        </w:rPr>
        <w:t>提供维持罕见病患者基本生存的救助水平。</w:t>
      </w:r>
      <w:r>
        <w:rPr>
          <w:rFonts w:hint="eastAsia" w:ascii="仿宋" w:hAnsi="仿宋" w:eastAsia="仿宋"/>
          <w:color w:val="auto"/>
          <w:sz w:val="28"/>
          <w:szCs w:val="28"/>
          <w:highlight w:val="none"/>
        </w:rPr>
        <w:t>在此基础上，建立多元化筹资机制，发挥财政、民政、红十字会、慈善组织、社会捐助等多渠道筹集基金，建立专门的基金运行及监督机制，保证专款专用，确保罕见病保障的长期可持续性。</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3、优化完善生育保险制度</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——进一步落实《广东省职工生育保险规定》，促进实现应保尽保。</w:t>
      </w:r>
      <w:r>
        <w:rPr>
          <w:rFonts w:hint="eastAsia" w:ascii="仿宋" w:hAnsi="仿宋" w:eastAsia="仿宋"/>
          <w:color w:val="auto"/>
          <w:sz w:val="28"/>
          <w:szCs w:val="28"/>
          <w:highlight w:val="none"/>
        </w:rPr>
        <w:t>按照上级政策要求，合理设定生育津贴计发办法，进一步简化申领生育保险待遇的手续和证明事项。</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——优化生育保险和医疗保险合并实施后的协同管理。</w:t>
      </w:r>
      <w:r>
        <w:rPr>
          <w:rFonts w:hint="eastAsia" w:ascii="仿宋" w:hAnsi="仿宋" w:eastAsia="仿宋"/>
          <w:color w:val="auto"/>
          <w:sz w:val="28"/>
          <w:szCs w:val="28"/>
          <w:highlight w:val="none"/>
        </w:rPr>
        <w:t>注重二险合并后在缴费标准、责任机制等方面的衔接。理顺合并实施和省级统筹的政策衔接问题。统筹考虑生育保险与医疗保障经办管理的信息化建设工作。</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4、落实应急医疗救助保障制度</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——完善应急医疗救治费用保障机制。</w:t>
      </w:r>
      <w:r>
        <w:rPr>
          <w:rFonts w:hint="eastAsia" w:ascii="仿宋" w:hAnsi="仿宋" w:eastAsia="仿宋"/>
          <w:color w:val="auto"/>
          <w:sz w:val="28"/>
          <w:szCs w:val="28"/>
          <w:highlight w:val="none"/>
        </w:rPr>
        <w:t>将新冠肺炎疫情期间临时出台的应急性政策纳入医疗保障制度中，成为专项应急机制，包括应急启动机制、资金支撑、政策待遇及具体运行等内容。</w:t>
      </w:r>
    </w:p>
    <w:p>
      <w:pPr>
        <w:spacing w:line="400" w:lineRule="atLeas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——健全重大疫情医疗救治医保支付机制。</w:t>
      </w:r>
      <w:r>
        <w:rPr>
          <w:rFonts w:hint="eastAsia" w:ascii="仿宋" w:hAnsi="仿宋" w:eastAsia="仿宋"/>
          <w:color w:val="auto"/>
          <w:sz w:val="28"/>
          <w:szCs w:val="28"/>
          <w:highlight w:val="none"/>
        </w:rPr>
        <w:t>在突发重大公共卫生事件等紧急情况时，确保医疗机构先救治、后收费；相关医疗费用不纳入医保基金总额预算范围，落实异地就医直接结算制度，确保患者不因费用问题影响就医；落实特殊群体、特定疾病医药费豁免制度以及有针对性免除医保目录、支付限额、用药量等限制性条款的政策；按照国家、省和江门市的统一要求，建立健全医保基金与公共卫生财政资金在重大疫情医疗救治费用保障中的统筹使用机制。</w:t>
      </w:r>
    </w:p>
    <w:p>
      <w:pPr>
        <w:widowControl/>
        <w:shd w:val="clear" w:color="auto" w:fill="FFFFFF"/>
        <w:spacing w:line="360" w:lineRule="atLeast"/>
        <w:ind w:firstLine="562" w:firstLineChars="200"/>
        <w:jc w:val="left"/>
        <w:rPr>
          <w:rFonts w:ascii="仿宋" w:hAnsi="仿宋" w:eastAsia="仿宋"/>
          <w:color w:val="auto"/>
          <w:sz w:val="28"/>
          <w:szCs w:val="28"/>
          <w:highlight w:val="none"/>
        </w:rPr>
      </w:pPr>
      <w:r>
        <w:rPr>
          <w:rFonts w:hint="eastAsia" w:ascii="仿宋" w:hAnsi="仿宋" w:eastAsia="仿宋"/>
          <w:b/>
          <w:bCs/>
          <w:color w:val="auto"/>
          <w:sz w:val="28"/>
          <w:szCs w:val="28"/>
          <w:highlight w:val="none"/>
        </w:rPr>
        <w:t>——有效衔接乡村振兴战略。</w:t>
      </w:r>
      <w:r>
        <w:rPr>
          <w:rFonts w:hint="eastAsia" w:ascii="仿宋" w:hAnsi="仿宋" w:eastAsia="仿宋"/>
          <w:color w:val="auto"/>
          <w:sz w:val="28"/>
          <w:szCs w:val="28"/>
          <w:highlight w:val="none"/>
        </w:rPr>
        <w:t>巩固拓展医保脱贫攻坚成果，实现由集中资源支持脱贫攻坚向基本医疗保险、大病保险、医疗救助三重制度常态化保障平稳过渡。分类优化医疗保障综合帮扶政策，将脱贫攻坚期开展的其他医疗保障扶贫措施资金逐步统一并入医疗救助基金。综合施策降低农村低收入人口看病就医成本，引导合理诊疗，促进有序就医，整体提升农村医疗保障和健康管理水平。</w:t>
      </w:r>
    </w:p>
    <w:p>
      <w:pPr>
        <w:pStyle w:val="5"/>
        <w:spacing w:before="140" w:after="20" w:line="400" w:lineRule="atLeast"/>
        <w:ind w:firstLine="562" w:firstLineChars="200"/>
        <w:jc w:val="left"/>
        <w:rPr>
          <w:rFonts w:ascii="仿宋" w:hAnsi="仿宋" w:cs="宋体"/>
          <w:color w:val="auto"/>
          <w:szCs w:val="28"/>
          <w:highlight w:val="none"/>
        </w:rPr>
      </w:pPr>
      <w:bookmarkStart w:id="12" w:name="_Toc52721342"/>
      <w:r>
        <w:rPr>
          <w:rFonts w:hint="eastAsia" w:ascii="仿宋" w:hAnsi="仿宋" w:cs="宋体"/>
          <w:color w:val="auto"/>
          <w:szCs w:val="28"/>
          <w:highlight w:val="none"/>
        </w:rPr>
        <w:t>（二）</w:t>
      </w:r>
      <w:r>
        <w:rPr>
          <w:rFonts w:ascii="仿宋" w:hAnsi="仿宋" w:cs="宋体"/>
          <w:color w:val="auto"/>
          <w:szCs w:val="28"/>
          <w:highlight w:val="none"/>
        </w:rPr>
        <w:t>健全稳健可持续的筹资运行机制</w:t>
      </w:r>
      <w:bookmarkEnd w:id="12"/>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w:t>
      </w:r>
      <w:r>
        <w:rPr>
          <w:rFonts w:ascii="仿宋" w:hAnsi="仿宋" w:eastAsia="仿宋"/>
          <w:b/>
          <w:bCs/>
          <w:color w:val="auto"/>
          <w:sz w:val="28"/>
          <w:szCs w:val="28"/>
          <w:highlight w:val="none"/>
        </w:rPr>
        <w:t>完善筹资分担和调整机制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——逐步均衡筹资负担，完善筹资方式。</w:t>
      </w:r>
      <w:r>
        <w:rPr>
          <w:rFonts w:hint="eastAsia" w:ascii="仿宋" w:hAnsi="仿宋" w:eastAsia="仿宋"/>
          <w:color w:val="auto"/>
          <w:sz w:val="28"/>
          <w:szCs w:val="28"/>
          <w:highlight w:val="none"/>
        </w:rPr>
        <w:t>就业人员参加基本医疗保险由用人单位和个人共同缴费。非就业人员参加居民基本医疗保险由个人缴费，政府按规定给予补助，缴费与经济社会发展水平和居民人均可支配收入挂钩。持续深入推进扩面征缴工作，适应新业态发展，完善灵活就业人员参保缴费方式，推动各类新业态从业人员和灵活就业人员参加医保。均衡个人、用人单位、政府三方筹资缴费责任，优化筹资结构。</w:t>
      </w:r>
    </w:p>
    <w:p>
      <w:pPr>
        <w:spacing w:line="400" w:lineRule="atLeast"/>
        <w:ind w:firstLine="562" w:firstLineChars="200"/>
        <w:rPr>
          <w:rFonts w:ascii="仿宋" w:hAnsi="仿宋" w:eastAsia="仿宋"/>
          <w:bCs/>
          <w:color w:val="auto"/>
          <w:sz w:val="28"/>
          <w:szCs w:val="28"/>
          <w:highlight w:val="none"/>
        </w:rPr>
      </w:pPr>
      <w:r>
        <w:rPr>
          <w:rFonts w:hint="eastAsia" w:ascii="仿宋" w:hAnsi="仿宋" w:eastAsia="仿宋"/>
          <w:b/>
          <w:bCs/>
          <w:color w:val="auto"/>
          <w:sz w:val="28"/>
          <w:szCs w:val="28"/>
          <w:highlight w:val="none"/>
        </w:rPr>
        <w:t>——加强新业态从业人员参保缴费管理。</w:t>
      </w:r>
      <w:r>
        <w:rPr>
          <w:rFonts w:hint="eastAsia" w:ascii="仿宋" w:hAnsi="仿宋" w:eastAsia="仿宋"/>
          <w:bCs/>
          <w:color w:val="auto"/>
          <w:sz w:val="28"/>
          <w:szCs w:val="28"/>
          <w:highlight w:val="none"/>
        </w:rPr>
        <w:t>适应新业态的发展，探索建立新业态从业人员参保缴费机制，提高参保率。</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——加强财政投入，逐步提高筹资水平。</w:t>
      </w:r>
      <w:r>
        <w:rPr>
          <w:rFonts w:hint="eastAsia" w:ascii="仿宋" w:hAnsi="仿宋" w:eastAsia="仿宋"/>
          <w:color w:val="auto"/>
          <w:sz w:val="28"/>
          <w:szCs w:val="28"/>
          <w:highlight w:val="none"/>
        </w:rPr>
        <w:t>研究应对老龄化医疗负担的多渠道筹资政策。加强财政对医疗救助的投入，拓宽医疗救助筹资渠道。</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w:t>
      </w:r>
      <w:r>
        <w:rPr>
          <w:rFonts w:ascii="仿宋" w:hAnsi="仿宋" w:eastAsia="仿宋"/>
          <w:b/>
          <w:bCs/>
          <w:color w:val="auto"/>
          <w:sz w:val="28"/>
          <w:szCs w:val="28"/>
          <w:highlight w:val="none"/>
        </w:rPr>
        <w:t>完善基金预算制度，建立预警机制</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——强化医保基金预算管理，推进绩效评价。</w:t>
      </w:r>
      <w:r>
        <w:rPr>
          <w:rFonts w:hint="eastAsia" w:ascii="仿宋" w:hAnsi="仿宋" w:eastAsia="仿宋"/>
          <w:color w:val="auto"/>
          <w:sz w:val="28"/>
          <w:szCs w:val="28"/>
          <w:highlight w:val="none"/>
        </w:rPr>
        <w:t>科学编制医疗保障基金收支预算，加强预算执行监督，全面实施预算绩效管理。落实国家医保局、省委省政府、</w:t>
      </w:r>
      <w:r>
        <w:rPr>
          <w:rFonts w:hint="eastAsia" w:ascii="仿宋_GB2312" w:hAnsi="仿宋_GB2312" w:eastAsia="仿宋_GB2312" w:cs="仿宋_GB2312"/>
          <w:color w:val="auto"/>
          <w:kern w:val="0"/>
          <w:sz w:val="28"/>
          <w:szCs w:val="28"/>
          <w:highlight w:val="none"/>
          <w:lang w:val="zh-TW" w:bidi="zh-TW"/>
        </w:rPr>
        <w:t>市委市政府</w:t>
      </w:r>
      <w:r>
        <w:rPr>
          <w:rFonts w:hint="eastAsia" w:ascii="仿宋" w:hAnsi="仿宋" w:eastAsia="仿宋"/>
          <w:color w:val="auto"/>
          <w:sz w:val="28"/>
          <w:szCs w:val="28"/>
          <w:highlight w:val="none"/>
        </w:rPr>
        <w:t>关于预算编制执行、监督管理有关要求，进一步强化预算约束、强化医疗保障基金（资金）的绩效评价。</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——建立基金预警机制。</w:t>
      </w:r>
      <w:r>
        <w:rPr>
          <w:rFonts w:ascii="仿宋" w:hAnsi="仿宋" w:eastAsia="仿宋"/>
          <w:color w:val="auto"/>
          <w:sz w:val="28"/>
          <w:szCs w:val="28"/>
          <w:highlight w:val="none"/>
        </w:rPr>
        <w:t>加强基金中长期精算，构建收支平衡机制，健全基金运行风险评估、预警机制。基于大数据</w:t>
      </w:r>
      <w:r>
        <w:rPr>
          <w:rFonts w:hint="eastAsia" w:ascii="仿宋" w:hAnsi="仿宋" w:eastAsia="仿宋"/>
          <w:color w:val="auto"/>
          <w:sz w:val="28"/>
          <w:szCs w:val="28"/>
          <w:highlight w:val="none"/>
        </w:rPr>
        <w:t>建立医保基金预测预警模型，在此基础上</w:t>
      </w:r>
      <w:r>
        <w:rPr>
          <w:rFonts w:ascii="仿宋" w:hAnsi="仿宋" w:eastAsia="仿宋"/>
          <w:color w:val="auto"/>
          <w:sz w:val="28"/>
          <w:szCs w:val="28"/>
          <w:highlight w:val="none"/>
        </w:rPr>
        <w:t>建立监控规则库、</w:t>
      </w:r>
      <w:r>
        <w:rPr>
          <w:rFonts w:hint="eastAsia" w:ascii="仿宋" w:hAnsi="仿宋" w:eastAsia="仿宋"/>
          <w:color w:val="auto"/>
          <w:sz w:val="28"/>
          <w:szCs w:val="28"/>
          <w:highlight w:val="none"/>
        </w:rPr>
        <w:t>优化</w:t>
      </w:r>
      <w:r>
        <w:rPr>
          <w:rFonts w:ascii="仿宋" w:hAnsi="仿宋" w:eastAsia="仿宋"/>
          <w:color w:val="auto"/>
          <w:sz w:val="28"/>
          <w:szCs w:val="28"/>
          <w:highlight w:val="none"/>
        </w:rPr>
        <w:t>监控系统。</w:t>
      </w:r>
    </w:p>
    <w:p>
      <w:pPr>
        <w:pStyle w:val="5"/>
        <w:spacing w:before="140" w:after="20" w:line="400" w:lineRule="atLeast"/>
        <w:ind w:firstLine="562" w:firstLineChars="200"/>
        <w:jc w:val="left"/>
        <w:rPr>
          <w:rFonts w:ascii="仿宋" w:hAnsi="仿宋" w:cs="宋体"/>
          <w:color w:val="auto"/>
          <w:szCs w:val="28"/>
          <w:highlight w:val="none"/>
        </w:rPr>
      </w:pPr>
      <w:bookmarkStart w:id="13" w:name="_Toc52721343"/>
      <w:r>
        <w:rPr>
          <w:rFonts w:hint="eastAsia" w:ascii="仿宋" w:hAnsi="仿宋" w:cs="宋体"/>
          <w:color w:val="auto"/>
          <w:szCs w:val="28"/>
          <w:highlight w:val="none"/>
        </w:rPr>
        <w:t>（三）</w:t>
      </w:r>
      <w:r>
        <w:rPr>
          <w:rFonts w:ascii="仿宋" w:hAnsi="仿宋" w:cs="宋体"/>
          <w:color w:val="auto"/>
          <w:szCs w:val="28"/>
          <w:highlight w:val="none"/>
        </w:rPr>
        <w:t>建立管用高效的医保支付机制</w:t>
      </w:r>
      <w:bookmarkEnd w:id="13"/>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1、规范</w:t>
      </w:r>
      <w:r>
        <w:rPr>
          <w:rFonts w:ascii="仿宋" w:hAnsi="仿宋" w:eastAsia="仿宋"/>
          <w:b/>
          <w:bCs/>
          <w:color w:val="auto"/>
          <w:sz w:val="28"/>
          <w:szCs w:val="28"/>
          <w:highlight w:val="none"/>
        </w:rPr>
        <w:t>医保目录管理</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——规范医保目录管理。</w:t>
      </w:r>
      <w:r>
        <w:rPr>
          <w:rFonts w:hint="eastAsia" w:ascii="仿宋" w:hAnsi="仿宋" w:eastAsia="仿宋"/>
          <w:color w:val="auto"/>
          <w:sz w:val="28"/>
          <w:szCs w:val="28"/>
          <w:highlight w:val="none"/>
        </w:rPr>
        <w:t>按照国家、省和江门市的规定继续做好新版药品目录和国家谈判药品的落地工作。严格执行国家、省和江门市基本医疗保险目录及医保用药限定支付范围，按照国家目录调整及时更新本市目录，实现医保目录动态调整。加强高值医用耗材规范化管理，明确治理范围，将单价和资源消耗占比相对较高的高值医用耗材作为重点治理对象。将符合规定的“互联网</w:t>
      </w:r>
      <w:r>
        <w:rPr>
          <w:rFonts w:ascii="仿宋" w:hAnsi="仿宋" w:eastAsia="仿宋"/>
          <w:color w:val="auto"/>
          <w:sz w:val="28"/>
          <w:szCs w:val="28"/>
          <w:highlight w:val="none"/>
        </w:rPr>
        <w:t>+医疗”的基本医疗服务项目纳入医保支付范围，推动建立药品处方共享平台，多渠道为参保人提供慢性病药品。</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w:t>
      </w:r>
      <w:r>
        <w:rPr>
          <w:rFonts w:ascii="仿宋" w:hAnsi="仿宋" w:eastAsia="仿宋"/>
          <w:b/>
          <w:bCs/>
          <w:color w:val="auto"/>
          <w:sz w:val="28"/>
          <w:szCs w:val="28"/>
          <w:highlight w:val="none"/>
        </w:rPr>
        <w:t>强化两定机构管理</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——创新定点服务协议管理。</w:t>
      </w:r>
      <w:r>
        <w:rPr>
          <w:rFonts w:hint="eastAsia" w:ascii="仿宋" w:hAnsi="仿宋" w:eastAsia="仿宋"/>
          <w:color w:val="auto"/>
          <w:sz w:val="28"/>
          <w:szCs w:val="28"/>
          <w:highlight w:val="none"/>
        </w:rPr>
        <w:t>完善基本医疗保险协议管理，简化优化医药机构定点申请、专业评估、协商谈判程序。将符合条件的医药机构纳入医保协议管理范围，支持“互联网</w:t>
      </w:r>
      <w:r>
        <w:rPr>
          <w:rFonts w:ascii="仿宋" w:hAnsi="仿宋" w:eastAsia="仿宋"/>
          <w:color w:val="auto"/>
          <w:sz w:val="28"/>
          <w:szCs w:val="28"/>
          <w:highlight w:val="none"/>
        </w:rPr>
        <w:t>+医疗”等新服务模式发展。建立跨区域就医协议管理机制。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——建立健全定点医药机构动态管理机制。</w:t>
      </w:r>
      <w:r>
        <w:rPr>
          <w:rFonts w:hint="eastAsia" w:ascii="仿宋" w:hAnsi="仿宋" w:eastAsia="仿宋"/>
          <w:color w:val="auto"/>
          <w:sz w:val="28"/>
          <w:szCs w:val="28"/>
          <w:highlight w:val="none"/>
        </w:rPr>
        <w:t>完善医药机构绩效评价指标体系，把医疗质量、医疗机构效率、费用控制、用药合理性、参保人获得感等作为对定点医药机构、医疗保障医师、药师考核评价的重要依据，将考核结果与预算管理、检查稽核、费用结算、协议管理等工作相关联并向全社会公开，实现医疗保险定点医药机构的精细化管理，差别化支付。基于医保管理的大数据，建立定点医疗机构的评价机制和筛选制度，在此基础上建立健全定点医疗机构退出机制，实现动态管理。</w:t>
      </w:r>
    </w:p>
    <w:p>
      <w:pPr>
        <w:spacing w:line="400" w:lineRule="atLeast"/>
        <w:ind w:firstLine="562" w:firstLineChars="200"/>
        <w:rPr>
          <w:rFonts w:ascii="仿宋" w:hAnsi="仿宋" w:eastAsia="仿宋"/>
          <w:b/>
          <w:bCs/>
          <w:i/>
          <w:color w:val="auto"/>
          <w:sz w:val="28"/>
          <w:szCs w:val="28"/>
          <w:highlight w:val="none"/>
        </w:rPr>
      </w:pPr>
      <w:r>
        <w:rPr>
          <w:rFonts w:hint="eastAsia" w:ascii="仿宋" w:hAnsi="仿宋" w:eastAsia="仿宋"/>
          <w:b/>
          <w:bCs/>
          <w:color w:val="auto"/>
          <w:sz w:val="28"/>
          <w:szCs w:val="28"/>
          <w:highlight w:val="none"/>
        </w:rPr>
        <w:t>3、</w:t>
      </w:r>
      <w:r>
        <w:rPr>
          <w:rFonts w:ascii="仿宋" w:hAnsi="仿宋" w:eastAsia="仿宋"/>
          <w:b/>
          <w:bCs/>
          <w:color w:val="auto"/>
          <w:sz w:val="28"/>
          <w:szCs w:val="28"/>
          <w:highlight w:val="none"/>
        </w:rPr>
        <w:t>深化医保支付方式改革</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——推进日间手术纳入医保支付。</w:t>
      </w:r>
      <w:r>
        <w:rPr>
          <w:rFonts w:hint="eastAsia" w:ascii="仿宋" w:hAnsi="仿宋" w:eastAsia="仿宋"/>
          <w:color w:val="auto"/>
          <w:sz w:val="28"/>
          <w:szCs w:val="28"/>
          <w:highlight w:val="none"/>
        </w:rPr>
        <w:t>扩大日间手术范围，总结日间手术试点工作的经验，不断完善日间手术医保支付方式。</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——完善门诊支付制度。</w:t>
      </w:r>
      <w:r>
        <w:rPr>
          <w:rFonts w:hint="eastAsia" w:ascii="仿宋" w:hAnsi="仿宋" w:eastAsia="仿宋"/>
          <w:color w:val="auto"/>
          <w:sz w:val="28"/>
          <w:szCs w:val="28"/>
          <w:highlight w:val="none"/>
        </w:rPr>
        <w:t>探索</w:t>
      </w:r>
      <w:r>
        <w:rPr>
          <w:rFonts w:ascii="仿宋" w:hAnsi="仿宋" w:eastAsia="仿宋"/>
          <w:color w:val="auto"/>
          <w:sz w:val="28"/>
          <w:szCs w:val="28"/>
          <w:highlight w:val="none"/>
        </w:rPr>
        <w:t>开展门诊慢性病按病种付费。在</w:t>
      </w:r>
      <w:r>
        <w:rPr>
          <w:rFonts w:hint="eastAsia" w:ascii="仿宋" w:hAnsi="仿宋" w:eastAsia="仿宋"/>
          <w:color w:val="auto"/>
          <w:sz w:val="28"/>
          <w:szCs w:val="28"/>
          <w:highlight w:val="none"/>
        </w:rPr>
        <w:t>当前</w:t>
      </w:r>
      <w:r>
        <w:rPr>
          <w:rFonts w:ascii="仿宋" w:hAnsi="仿宋" w:eastAsia="仿宋"/>
          <w:color w:val="auto"/>
          <w:sz w:val="28"/>
          <w:szCs w:val="28"/>
          <w:highlight w:val="none"/>
        </w:rPr>
        <w:t>住院统筹支付</w:t>
      </w:r>
      <w:r>
        <w:rPr>
          <w:rFonts w:hint="eastAsia" w:ascii="仿宋" w:hAnsi="仿宋" w:eastAsia="仿宋"/>
          <w:color w:val="auto"/>
          <w:sz w:val="28"/>
          <w:szCs w:val="28"/>
          <w:highlight w:val="none"/>
        </w:rPr>
        <w:t>、社区门诊统筹支付</w:t>
      </w:r>
      <w:r>
        <w:rPr>
          <w:rFonts w:ascii="仿宋" w:hAnsi="仿宋" w:eastAsia="仿宋"/>
          <w:color w:val="auto"/>
          <w:sz w:val="28"/>
          <w:szCs w:val="28"/>
          <w:highlight w:val="none"/>
        </w:rPr>
        <w:t>的基础上，考虑基金平衡等因素，进一步</w:t>
      </w:r>
      <w:r>
        <w:rPr>
          <w:rFonts w:hint="eastAsia" w:ascii="仿宋" w:hAnsi="仿宋" w:eastAsia="仿宋"/>
          <w:color w:val="auto"/>
          <w:sz w:val="28"/>
          <w:szCs w:val="28"/>
          <w:highlight w:val="none"/>
        </w:rPr>
        <w:t>扩大</w:t>
      </w:r>
      <w:r>
        <w:rPr>
          <w:rFonts w:ascii="仿宋" w:hAnsi="仿宋" w:eastAsia="仿宋"/>
          <w:color w:val="auto"/>
          <w:sz w:val="28"/>
          <w:szCs w:val="28"/>
          <w:highlight w:val="none"/>
        </w:rPr>
        <w:t>门诊统筹支付</w:t>
      </w:r>
      <w:r>
        <w:rPr>
          <w:rFonts w:hint="eastAsia" w:ascii="仿宋" w:hAnsi="仿宋" w:eastAsia="仿宋"/>
          <w:color w:val="auto"/>
          <w:sz w:val="28"/>
          <w:szCs w:val="28"/>
          <w:highlight w:val="none"/>
        </w:rPr>
        <w:t>的范围</w:t>
      </w:r>
      <w:r>
        <w:rPr>
          <w:rFonts w:ascii="仿宋" w:hAnsi="仿宋" w:eastAsia="仿宋"/>
          <w:color w:val="auto"/>
          <w:sz w:val="28"/>
          <w:szCs w:val="28"/>
          <w:highlight w:val="none"/>
        </w:rPr>
        <w:t>。</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——完善医保支付方式，支持医疗服务体系建设。</w:t>
      </w:r>
      <w:r>
        <w:rPr>
          <w:rFonts w:hint="eastAsia" w:ascii="仿宋" w:hAnsi="仿宋" w:eastAsia="仿宋"/>
          <w:color w:val="auto"/>
          <w:sz w:val="28"/>
          <w:szCs w:val="28"/>
          <w:highlight w:val="none"/>
        </w:rPr>
        <w:t>继续推进家庭医生签约服务制度，完善家庭医生签约服务的费用结算方式。完善适宜基层医疗机构开展的病种范围。探索实现基本医疗服务与公共卫生服务的有效衔接。</w:t>
      </w:r>
    </w:p>
    <w:p>
      <w:pPr>
        <w:pStyle w:val="5"/>
        <w:spacing w:before="140" w:after="20" w:line="400" w:lineRule="atLeast"/>
        <w:ind w:firstLine="562" w:firstLineChars="200"/>
        <w:jc w:val="left"/>
        <w:rPr>
          <w:rFonts w:ascii="仿宋" w:hAnsi="仿宋" w:cs="宋体"/>
          <w:color w:val="auto"/>
          <w:szCs w:val="28"/>
          <w:highlight w:val="none"/>
        </w:rPr>
      </w:pPr>
      <w:bookmarkStart w:id="14" w:name="_Toc52721344"/>
      <w:r>
        <w:rPr>
          <w:rFonts w:hint="eastAsia" w:ascii="仿宋" w:hAnsi="仿宋" w:cs="宋体"/>
          <w:color w:val="auto"/>
          <w:szCs w:val="28"/>
          <w:highlight w:val="none"/>
        </w:rPr>
        <w:t>（四）</w:t>
      </w:r>
      <w:r>
        <w:rPr>
          <w:rFonts w:ascii="仿宋" w:hAnsi="仿宋" w:cs="宋体"/>
          <w:color w:val="auto"/>
          <w:szCs w:val="28"/>
          <w:highlight w:val="none"/>
        </w:rPr>
        <w:t>健全严密有力的基金监管机制</w:t>
      </w:r>
      <w:bookmarkEnd w:id="14"/>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w:t>
      </w:r>
      <w:r>
        <w:rPr>
          <w:rFonts w:ascii="仿宋" w:hAnsi="仿宋" w:eastAsia="仿宋"/>
          <w:b/>
          <w:bCs/>
          <w:color w:val="auto"/>
          <w:sz w:val="28"/>
          <w:szCs w:val="28"/>
          <w:highlight w:val="none"/>
        </w:rPr>
        <w:t>创新医疗保障基金监管方式</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——建立健全监督检查制度。</w:t>
      </w:r>
      <w:r>
        <w:rPr>
          <w:rFonts w:hint="eastAsia" w:ascii="仿宋" w:hAnsi="仿宋" w:eastAsia="仿宋"/>
          <w:color w:val="auto"/>
          <w:sz w:val="28"/>
          <w:szCs w:val="28"/>
          <w:highlight w:val="none"/>
        </w:rPr>
        <w:t>推行“双随机、一公开”的监管机制，建立和完善日常巡查、专项检查、飞行检查、重点检查、专家审查等多形式相结合的检查制度。建立部门联动机制，开展联合检查，形成监管合力。积极引入信息技术服务机构、会计师事务所、商业保险机构等第三方力量参与医疗保障基金监管，建立和完善政府购买服务制度，推行按服务绩效付费，提升监管的专业性。</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——建立综合监管制度，加强部门联动。</w:t>
      </w:r>
      <w:r>
        <w:rPr>
          <w:rFonts w:hint="eastAsia" w:ascii="仿宋" w:hAnsi="仿宋" w:eastAsia="仿宋"/>
          <w:color w:val="auto"/>
          <w:sz w:val="28"/>
          <w:szCs w:val="28"/>
          <w:highlight w:val="none"/>
        </w:rPr>
        <w:t>适应医疗保障管理服务特点，组建包括医学、法律、财务、审计、信息等各方面专业人士在内的医保基金监督专家库。医保部门与纪委监委、公安、卫健、市场监管等部门建立协同联动机制，建立和完善部门间相互配合、协同监管的综合监管制度，推行网格化管理。推进信息共享和互联互通，健全协同执法工作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——健全社会监督制度。</w:t>
      </w:r>
      <w:r>
        <w:rPr>
          <w:rFonts w:hint="eastAsia" w:ascii="仿宋" w:hAnsi="仿宋" w:eastAsia="仿宋"/>
          <w:color w:val="auto"/>
          <w:sz w:val="28"/>
          <w:szCs w:val="28"/>
          <w:highlight w:val="none"/>
        </w:rPr>
        <w:t>建立信息披露制度，经办机构定期向社会公告医疗保障基金的收支、结余和收益情况，接受社会监督。完善对医疗服务的监控机制，建立信息强制披露制度，依法依规向社会公开医药费用、费用结构等信息。建立医疗保障基金社会监督员制度，聘请人大代表、政协委员、群众和新闻媒体代表等担任社会监督员，对定点医药机构、经办机构、参保人员等进行监督。主动邀请新闻媒体参与飞行检查、明察暗访等工作，通过新闻发布会、媒体通气会等形式发布打击欺诈骗保成果及典型案件，严厉打击欺诈骗保行为。建立医疗保障违法违规违约行为举报奖励制度。</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——加强监控管理队伍建设。</w:t>
      </w:r>
      <w:r>
        <w:rPr>
          <w:rFonts w:hint="eastAsia" w:ascii="仿宋" w:hAnsi="仿宋" w:eastAsia="仿宋"/>
          <w:color w:val="auto"/>
          <w:sz w:val="28"/>
          <w:szCs w:val="28"/>
          <w:highlight w:val="none"/>
        </w:rPr>
        <w:t>建立专业化的基金监管稽核队伍。加强培训，以专题培训、以案带训等方式，组织开展基金监管业务培训，全面提升基金监管人员业务能力水平。</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w:t>
      </w:r>
      <w:r>
        <w:rPr>
          <w:rFonts w:ascii="仿宋" w:hAnsi="仿宋" w:eastAsia="仿宋"/>
          <w:b/>
          <w:bCs/>
          <w:color w:val="auto"/>
          <w:sz w:val="28"/>
          <w:szCs w:val="28"/>
          <w:highlight w:val="none"/>
        </w:rPr>
        <w:t>发展医疗保障基金智能监控</w:t>
      </w:r>
    </w:p>
    <w:p>
      <w:pPr>
        <w:spacing w:line="400" w:lineRule="atLeast"/>
        <w:ind w:firstLine="560" w:firstLineChars="200"/>
        <w:rPr>
          <w:rFonts w:ascii="仿宋" w:hAnsi="仿宋" w:eastAsia="仿宋"/>
          <w:b/>
          <w:bCs/>
          <w:color w:val="auto"/>
          <w:sz w:val="28"/>
          <w:szCs w:val="28"/>
          <w:highlight w:val="none"/>
        </w:rPr>
      </w:pPr>
      <w:r>
        <w:rPr>
          <w:rFonts w:hint="eastAsia" w:ascii="仿宋_GB2312" w:hAnsi="仿宋_GB2312" w:eastAsia="仿宋_GB2312" w:cs="仿宋_GB2312"/>
          <w:color w:val="auto"/>
          <w:kern w:val="0"/>
          <w:sz w:val="28"/>
          <w:szCs w:val="28"/>
          <w:highlight w:val="none"/>
          <w:lang w:val="zh-TW" w:bidi="zh-TW"/>
        </w:rPr>
        <w:t>通过全程实时监控的医疗保险信息系统，实现与定点医药机构信息系统的对接，对定点医药机构医疗费用实行事前提醒、事中监控、事后审核的全程实时监管，重点对药品、高值医用耗材使用情况及大型医用设备检查等医疗行为进行跟踪监测评估，建立按病种分值付费过程中的医保基金欺诈行为监控机制，</w:t>
      </w:r>
      <w:r>
        <w:rPr>
          <w:rFonts w:ascii="仿宋_GB2312" w:hAnsi="仿宋_GB2312" w:eastAsia="仿宋_GB2312" w:cs="仿宋_GB2312"/>
          <w:color w:val="auto"/>
          <w:kern w:val="0"/>
          <w:sz w:val="28"/>
          <w:szCs w:val="28"/>
          <w:highlight w:val="none"/>
          <w:lang w:val="zh-TW" w:bidi="zh-TW"/>
        </w:rPr>
        <w:t>聚焦病案</w:t>
      </w:r>
      <w:r>
        <w:rPr>
          <w:rFonts w:hint="eastAsia" w:ascii="仿宋_GB2312" w:hAnsi="仿宋_GB2312" w:eastAsia="仿宋_GB2312" w:cs="仿宋_GB2312"/>
          <w:color w:val="auto"/>
          <w:kern w:val="0"/>
          <w:sz w:val="28"/>
          <w:szCs w:val="28"/>
          <w:highlight w:val="none"/>
          <w:lang w:val="zh-TW" w:bidi="zh-TW"/>
        </w:rPr>
        <w:t>合规、高低反套、虚假住院、低标入院、质量监控、费用研判等行为，及时阻断医疗机构的不规范医疗行为。</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3、加强异地就医监管</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——协同配合，加强异地就医监管。</w:t>
      </w:r>
      <w:r>
        <w:rPr>
          <w:rFonts w:hint="eastAsia" w:ascii="仿宋" w:hAnsi="仿宋" w:eastAsia="仿宋"/>
          <w:color w:val="auto"/>
          <w:sz w:val="28"/>
          <w:szCs w:val="28"/>
          <w:highlight w:val="none"/>
        </w:rPr>
        <w:t>积极配合</w:t>
      </w:r>
      <w:r>
        <w:rPr>
          <w:rFonts w:hint="eastAsia" w:ascii="仿宋" w:hAnsi="仿宋" w:eastAsia="仿宋"/>
          <w:color w:val="auto"/>
          <w:sz w:val="28"/>
          <w:szCs w:val="28"/>
          <w:highlight w:val="none"/>
          <w:lang w:eastAsia="zh-CN"/>
        </w:rPr>
        <w:t>异地</w:t>
      </w:r>
      <w:r>
        <w:rPr>
          <w:rFonts w:hint="eastAsia" w:ascii="仿宋" w:hAnsi="仿宋" w:eastAsia="仿宋"/>
          <w:color w:val="auto"/>
          <w:sz w:val="28"/>
          <w:szCs w:val="28"/>
          <w:highlight w:val="none"/>
        </w:rPr>
        <w:t>医保经办部门，协同调查异地就医零星报销异常情形，调阅就医医院病史情况，共同防范打击欺诈骗保行为。落实就医地监管责任，将异地就医人员纳入统一监管范围，着重配合参保地加强备案管理，规范医疗行为。</w:t>
      </w:r>
    </w:p>
    <w:p>
      <w:pPr>
        <w:pStyle w:val="5"/>
        <w:spacing w:before="140" w:after="20" w:line="400" w:lineRule="atLeast"/>
        <w:ind w:firstLine="562" w:firstLineChars="200"/>
        <w:jc w:val="left"/>
        <w:rPr>
          <w:rFonts w:ascii="仿宋" w:hAnsi="仿宋" w:cs="宋体"/>
          <w:color w:val="auto"/>
          <w:szCs w:val="28"/>
          <w:highlight w:val="none"/>
        </w:rPr>
      </w:pPr>
      <w:bookmarkStart w:id="15" w:name="_Toc52721345"/>
      <w:r>
        <w:rPr>
          <w:rFonts w:hint="eastAsia" w:ascii="仿宋" w:hAnsi="仿宋" w:cs="宋体"/>
          <w:color w:val="auto"/>
          <w:szCs w:val="28"/>
          <w:highlight w:val="none"/>
        </w:rPr>
        <w:t>（五）</w:t>
      </w:r>
      <w:r>
        <w:rPr>
          <w:rFonts w:ascii="仿宋" w:hAnsi="仿宋" w:cs="宋体"/>
          <w:color w:val="auto"/>
          <w:szCs w:val="28"/>
          <w:highlight w:val="none"/>
        </w:rPr>
        <w:t>协同推进医药服务供给侧改革</w:t>
      </w:r>
      <w:bookmarkEnd w:id="15"/>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1、落实</w:t>
      </w:r>
      <w:r>
        <w:rPr>
          <w:rFonts w:ascii="仿宋" w:hAnsi="仿宋" w:eastAsia="仿宋"/>
          <w:b/>
          <w:bCs/>
          <w:color w:val="auto"/>
          <w:sz w:val="28"/>
          <w:szCs w:val="28"/>
          <w:highlight w:val="none"/>
        </w:rPr>
        <w:t>药品与耗材集中采购机制改革</w:t>
      </w:r>
      <w:r>
        <w:rPr>
          <w:rFonts w:hint="eastAsia" w:ascii="仿宋" w:hAnsi="仿宋" w:eastAsia="仿宋"/>
          <w:b/>
          <w:bCs/>
          <w:color w:val="auto"/>
          <w:sz w:val="28"/>
          <w:szCs w:val="28"/>
          <w:highlight w:val="none"/>
        </w:rPr>
        <w:t>政策</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——落实国家和省的药品集中采购改革。</w:t>
      </w:r>
      <w:r>
        <w:rPr>
          <w:rFonts w:hint="eastAsia" w:ascii="仿宋" w:hAnsi="仿宋" w:eastAsia="仿宋"/>
          <w:color w:val="auto"/>
          <w:sz w:val="28"/>
          <w:szCs w:val="28"/>
          <w:highlight w:val="none"/>
        </w:rPr>
        <w:t>继续落实开平市医疗机构药品与高值耗材在省相关平台集中采购和跨区域联合集中采购相结合的机制，开展集中采购，推动药品和耗材保供降价，根据相关的规定要求，配合建立完善全市药品集中采购方案的奖励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——加强对药品和耗材使用的监管。</w:t>
      </w:r>
      <w:r>
        <w:rPr>
          <w:rFonts w:hint="eastAsia" w:ascii="仿宋" w:hAnsi="仿宋" w:eastAsia="仿宋"/>
          <w:color w:val="auto"/>
          <w:sz w:val="28"/>
          <w:szCs w:val="28"/>
          <w:highlight w:val="none"/>
        </w:rPr>
        <w:t>落实《关于推进药品和医用耗材集团采购的指导意见》（征求意见稿）中的监管措施。完善监管体制，定期对门诊处方金额、用药超时、药品使用比例、住院用药、单品种用药、医生用药排名、抗菌药物等进行专项监察，综合线上动态监管和线下监管，建立</w:t>
      </w:r>
      <w:r>
        <w:rPr>
          <w:rFonts w:ascii="仿宋" w:hAnsi="仿宋" w:eastAsia="仿宋"/>
          <w:color w:val="auto"/>
          <w:sz w:val="28"/>
          <w:szCs w:val="28"/>
          <w:highlight w:val="none"/>
        </w:rPr>
        <w:t>大数据风险预警平台，对违规行为进行精确定位并</w:t>
      </w:r>
      <w:r>
        <w:rPr>
          <w:rFonts w:hint="eastAsia" w:ascii="仿宋" w:hAnsi="仿宋" w:eastAsia="仿宋"/>
          <w:color w:val="auto"/>
          <w:sz w:val="28"/>
          <w:szCs w:val="28"/>
          <w:highlight w:val="none"/>
        </w:rPr>
        <w:t>披露</w:t>
      </w:r>
      <w:r>
        <w:rPr>
          <w:rFonts w:ascii="仿宋" w:hAnsi="仿宋" w:eastAsia="仿宋"/>
          <w:color w:val="auto"/>
          <w:sz w:val="28"/>
          <w:szCs w:val="28"/>
          <w:highlight w:val="none"/>
        </w:rPr>
        <w:t>相关信息</w:t>
      </w:r>
      <w:r>
        <w:rPr>
          <w:rFonts w:hint="eastAsia" w:ascii="仿宋" w:hAnsi="仿宋" w:eastAsia="仿宋"/>
          <w:color w:val="auto"/>
          <w:sz w:val="28"/>
          <w:szCs w:val="28"/>
          <w:highlight w:val="none"/>
        </w:rPr>
        <w:t>。加强重点药品使用管理监控工作，编制重点药品</w:t>
      </w:r>
      <w:r>
        <w:rPr>
          <w:rFonts w:ascii="仿宋" w:hAnsi="仿宋" w:eastAsia="仿宋"/>
          <w:color w:val="auto"/>
          <w:sz w:val="28"/>
          <w:szCs w:val="28"/>
          <w:highlight w:val="none"/>
        </w:rPr>
        <w:t>监控目录，并实行动态管理。</w:t>
      </w:r>
      <w:r>
        <w:rPr>
          <w:rFonts w:hint="eastAsia" w:ascii="仿宋" w:hAnsi="仿宋" w:eastAsia="仿宋"/>
          <w:color w:val="auto"/>
          <w:sz w:val="28"/>
          <w:szCs w:val="28"/>
          <w:highlight w:val="none"/>
        </w:rPr>
        <w:t>健全医保医药服务考核评价体系，将集采药品、耗材的合规使用情况与医保支付挂钩</w:t>
      </w:r>
      <w:r>
        <w:rPr>
          <w:rFonts w:ascii="仿宋" w:hAnsi="仿宋" w:eastAsia="仿宋"/>
          <w:color w:val="auto"/>
          <w:sz w:val="28"/>
          <w:szCs w:val="28"/>
          <w:highlight w:val="none"/>
        </w:rPr>
        <w:t>。</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2、落实</w:t>
      </w:r>
      <w:r>
        <w:rPr>
          <w:rFonts w:ascii="仿宋" w:hAnsi="仿宋" w:eastAsia="仿宋"/>
          <w:b/>
          <w:bCs/>
          <w:color w:val="auto"/>
          <w:sz w:val="28"/>
          <w:szCs w:val="28"/>
          <w:highlight w:val="none"/>
        </w:rPr>
        <w:t>医药价格形成机制和</w:t>
      </w:r>
      <w:r>
        <w:rPr>
          <w:rFonts w:hint="eastAsia" w:ascii="仿宋" w:hAnsi="仿宋" w:eastAsia="仿宋"/>
          <w:b/>
          <w:bCs/>
          <w:color w:val="auto"/>
          <w:sz w:val="28"/>
          <w:szCs w:val="28"/>
          <w:highlight w:val="none"/>
        </w:rPr>
        <w:t>监管</w:t>
      </w:r>
      <w:r>
        <w:rPr>
          <w:rFonts w:ascii="仿宋" w:hAnsi="仿宋" w:eastAsia="仿宋"/>
          <w:b/>
          <w:bCs/>
          <w:color w:val="auto"/>
          <w:sz w:val="28"/>
          <w:szCs w:val="28"/>
          <w:highlight w:val="none"/>
        </w:rPr>
        <w:t>机制改革</w:t>
      </w:r>
      <w:r>
        <w:rPr>
          <w:rFonts w:hint="eastAsia" w:ascii="仿宋" w:hAnsi="仿宋" w:eastAsia="仿宋"/>
          <w:b/>
          <w:bCs/>
          <w:color w:val="auto"/>
          <w:sz w:val="28"/>
          <w:szCs w:val="28"/>
          <w:highlight w:val="none"/>
        </w:rPr>
        <w:t>政策</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——推动以市场为主导的医药价格形成机制。</w:t>
      </w:r>
      <w:r>
        <w:rPr>
          <w:rFonts w:hint="eastAsia" w:ascii="仿宋" w:hAnsi="仿宋" w:eastAsia="仿宋"/>
          <w:color w:val="auto"/>
          <w:sz w:val="28"/>
          <w:szCs w:val="28"/>
          <w:highlight w:val="none"/>
        </w:rPr>
        <w:t>在采购环节打破医药产品市场分割、地方保护，营造公平有序的竞争环境。建立采购人员违规行为惩戒机制，对于恶意串谋的人员和机构负责人移送司法机关并提起诉讼。鼓励采取集团采购、专科医院联合采购、医疗联合体采购等方式形成合理价格，鼓励非公立医疗机构、社会药店等积极参与，</w:t>
      </w:r>
      <w:r>
        <w:rPr>
          <w:rFonts w:ascii="仿宋" w:hAnsi="仿宋" w:eastAsia="仿宋"/>
          <w:color w:val="auto"/>
          <w:sz w:val="28"/>
          <w:szCs w:val="28"/>
          <w:highlight w:val="none"/>
        </w:rPr>
        <w:t>实现医保定点药店相关品类的100%参与，共同推动形成以市场为主导的</w:t>
      </w:r>
      <w:r>
        <w:rPr>
          <w:rFonts w:hint="eastAsia" w:ascii="仿宋" w:hAnsi="仿宋" w:eastAsia="仿宋"/>
          <w:color w:val="auto"/>
          <w:sz w:val="28"/>
          <w:szCs w:val="28"/>
          <w:highlight w:val="none"/>
        </w:rPr>
        <w:t>医药</w:t>
      </w:r>
      <w:r>
        <w:rPr>
          <w:rFonts w:ascii="仿宋" w:hAnsi="仿宋" w:eastAsia="仿宋"/>
          <w:color w:val="auto"/>
          <w:sz w:val="28"/>
          <w:szCs w:val="28"/>
          <w:highlight w:val="none"/>
        </w:rPr>
        <w:t>价格形成机制。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——健全医药价格的动态监测预警体系。</w:t>
      </w:r>
      <w:r>
        <w:rPr>
          <w:rFonts w:hint="eastAsia" w:ascii="仿宋" w:hAnsi="仿宋" w:eastAsia="仿宋"/>
          <w:color w:val="auto"/>
          <w:sz w:val="28"/>
          <w:szCs w:val="28"/>
          <w:highlight w:val="none"/>
        </w:rPr>
        <w:t>逐步探索建立跨部门统一的信息平台，实现医药价格的实时动态监测评估，掌握真实交易价格数据，反映真实的成本、收益信息和控费情况。在新的采购周期实行全国范围比价，对于异常的药耗进行调整。及时在网站上公开招采相关信息，以供行业参考和监督。</w:t>
      </w:r>
    </w:p>
    <w:p>
      <w:pPr>
        <w:spacing w:line="400" w:lineRule="atLeast"/>
        <w:ind w:firstLine="562" w:firstLineChars="200"/>
        <w:rPr>
          <w:rFonts w:ascii="仿宋" w:hAnsi="仿宋" w:eastAsia="仿宋"/>
          <w:b/>
          <w:bCs/>
          <w:color w:val="auto"/>
          <w:sz w:val="28"/>
          <w:szCs w:val="28"/>
          <w:highlight w:val="none"/>
        </w:rPr>
      </w:pPr>
      <w:bookmarkStart w:id="16" w:name="_Toc52721346"/>
      <w:r>
        <w:rPr>
          <w:rFonts w:hint="eastAsia" w:ascii="仿宋" w:hAnsi="仿宋" w:eastAsia="仿宋"/>
          <w:b/>
          <w:bCs/>
          <w:color w:val="auto"/>
          <w:sz w:val="28"/>
          <w:szCs w:val="28"/>
          <w:highlight w:val="none"/>
        </w:rPr>
        <w:t>3、</w:t>
      </w:r>
      <w:r>
        <w:rPr>
          <w:rFonts w:ascii="仿宋" w:hAnsi="仿宋" w:eastAsia="仿宋"/>
          <w:b/>
          <w:bCs/>
          <w:color w:val="auto"/>
          <w:sz w:val="28"/>
          <w:szCs w:val="28"/>
          <w:highlight w:val="none"/>
        </w:rPr>
        <w:t>实施“互联网+”智慧健康行动</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——探索建立“互联网＋”医疗服务的医保支付政策。</w:t>
      </w:r>
      <w:r>
        <w:rPr>
          <w:rFonts w:hint="eastAsia" w:ascii="仿宋" w:hAnsi="仿宋" w:eastAsia="仿宋"/>
          <w:color w:val="auto"/>
          <w:sz w:val="28"/>
          <w:szCs w:val="28"/>
          <w:highlight w:val="none"/>
        </w:rPr>
        <w:t>确定“互联网＋”医保支付范围，定点医疗机构提供的“互联网＋”医疗服务与医保支付范围内的线下医疗服务内容相同、且执行相应公立医疗机构收费价格的，经相应备案程序后纳入医保支付范围并按规定支付。根据“互联网＋”医疗服务的特点，合理确定总额控制指标，完善定点医疗机构服务协议，调整医保信息系统，优化结算流程。加强医疗服务监管，支持定点医疗机构依托“互联网＋”提供规范、便捷、优质、高效的医疗服务。</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——推进医疗保障标准化与信息化建设，促进三医联动。</w:t>
      </w:r>
      <w:r>
        <w:rPr>
          <w:rFonts w:hint="eastAsia" w:ascii="仿宋" w:hAnsi="仿宋" w:eastAsia="仿宋"/>
          <w:color w:val="auto"/>
          <w:sz w:val="28"/>
          <w:szCs w:val="28"/>
          <w:highlight w:val="none"/>
        </w:rPr>
        <w:t>严格落实政务信息系统整合共享要求，做好与原有相关系统的衔接，完善三医数据共享机制，加强医疗、医保、医药信息化平台的互联互通，提高对服务需求的反应性，优化对服务质量的反馈，引导人群合理就医。</w:t>
      </w:r>
    </w:p>
    <w:p>
      <w:pPr>
        <w:pStyle w:val="5"/>
        <w:spacing w:before="140" w:after="20" w:line="400" w:lineRule="atLeast"/>
        <w:ind w:firstLine="562" w:firstLineChars="200"/>
        <w:jc w:val="left"/>
        <w:rPr>
          <w:rFonts w:ascii="仿宋" w:hAnsi="仿宋" w:cs="宋体"/>
          <w:color w:val="auto"/>
          <w:szCs w:val="28"/>
          <w:highlight w:val="none"/>
        </w:rPr>
      </w:pPr>
      <w:r>
        <w:rPr>
          <w:rFonts w:hint="eastAsia" w:ascii="仿宋" w:hAnsi="仿宋" w:cs="宋体"/>
          <w:color w:val="auto"/>
          <w:szCs w:val="28"/>
          <w:highlight w:val="none"/>
        </w:rPr>
        <w:t>（六）</w:t>
      </w:r>
      <w:r>
        <w:rPr>
          <w:rFonts w:ascii="仿宋" w:hAnsi="仿宋" w:cs="宋体"/>
          <w:color w:val="auto"/>
          <w:szCs w:val="28"/>
          <w:highlight w:val="none"/>
        </w:rPr>
        <w:t>优化医疗保障公共管理服务</w:t>
      </w:r>
      <w:bookmarkEnd w:id="16"/>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w:t>
      </w:r>
      <w:r>
        <w:rPr>
          <w:rFonts w:ascii="仿宋" w:hAnsi="仿宋" w:eastAsia="仿宋"/>
          <w:b/>
          <w:bCs/>
          <w:color w:val="auto"/>
          <w:sz w:val="28"/>
          <w:szCs w:val="28"/>
          <w:highlight w:val="none"/>
        </w:rPr>
        <w:t>推进医疗保障经办体制改革</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——推进经办体制改革与创新。</w:t>
      </w:r>
      <w:r>
        <w:rPr>
          <w:rFonts w:hint="eastAsia" w:ascii="仿宋" w:hAnsi="仿宋" w:eastAsia="仿宋"/>
          <w:color w:val="auto"/>
          <w:sz w:val="28"/>
          <w:szCs w:val="28"/>
          <w:highlight w:val="none"/>
        </w:rPr>
        <w:t>整合各类社会医疗保险、生育保险、医疗救助等经办管理资源，建立统一的市级医疗保障服务中心，为进一步提高经办服务效能提供体制组织机构和体制保障。</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w:t>
      </w:r>
      <w:r>
        <w:rPr>
          <w:rFonts w:ascii="仿宋" w:hAnsi="仿宋" w:eastAsia="仿宋"/>
          <w:b/>
          <w:bCs/>
          <w:color w:val="auto"/>
          <w:sz w:val="28"/>
          <w:szCs w:val="28"/>
          <w:highlight w:val="none"/>
        </w:rPr>
        <w:t>加快医疗保险大数据信息平台建设</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——推进医疗保障信息系统建设。</w:t>
      </w:r>
      <w:r>
        <w:rPr>
          <w:rFonts w:hint="eastAsia" w:ascii="仿宋" w:hAnsi="仿宋" w:eastAsia="仿宋"/>
          <w:color w:val="auto"/>
          <w:sz w:val="28"/>
          <w:szCs w:val="28"/>
          <w:highlight w:val="none"/>
        </w:rPr>
        <w:t>按照国家、省和江门市信息化建设的整体规划和要求，结合本市的实际需求，建设并部署统一、高效、兼容、便捷、安全的医疗保障信息系统，实现精确监管、科学决策和个性化服务。推广应用医保电子凭证、医疗电子票据、电子处方流转等。增加支持使用的定点医药机构数量，拓展应用场景。</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——建设集管理、决策、应用三大功能的医疗保险大数据信息平台。</w:t>
      </w:r>
      <w:r>
        <w:rPr>
          <w:rFonts w:hint="eastAsia" w:ascii="仿宋" w:hAnsi="仿宋" w:eastAsia="仿宋"/>
          <w:color w:val="auto"/>
          <w:sz w:val="28"/>
          <w:szCs w:val="28"/>
          <w:highlight w:val="none"/>
        </w:rPr>
        <w:t>完善基本医疗保障全国联网和异地就医直接结算，健全异地转诊的政策措施，加强参保地与就医地协作，方便群众结算，减少群众“跑腿”、“垫资”。与定点医药机构的系统实现全面对接，运用医疗服务监控系统，强化医疗服务协议管理。</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w:t>
      </w:r>
      <w:r>
        <w:rPr>
          <w:rFonts w:ascii="仿宋" w:hAnsi="仿宋" w:eastAsia="仿宋"/>
          <w:b/>
          <w:bCs/>
          <w:color w:val="auto"/>
          <w:sz w:val="28"/>
          <w:szCs w:val="28"/>
          <w:highlight w:val="none"/>
        </w:rPr>
        <w:t>加强医疗保障经办能力建设</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——加强医疗保障经办服务队伍建设与人才培养。</w:t>
      </w:r>
      <w:r>
        <w:rPr>
          <w:rFonts w:hint="eastAsia" w:ascii="仿宋" w:hAnsi="仿宋" w:eastAsia="仿宋"/>
          <w:color w:val="auto"/>
          <w:sz w:val="28"/>
          <w:szCs w:val="28"/>
          <w:highlight w:val="none"/>
        </w:rPr>
        <w:t>遵循“行政管理向上集中，经办服务向下延伸”的原则，重新布局并配备人力。按照服务对象多寡（</w:t>
      </w:r>
      <w:r>
        <w:rPr>
          <w:rFonts w:ascii="仿宋" w:hAnsi="仿宋" w:eastAsia="仿宋"/>
          <w:color w:val="auto"/>
          <w:sz w:val="28"/>
          <w:szCs w:val="28"/>
          <w:highlight w:val="none"/>
        </w:rPr>
        <w:t>1:8000）为医疗保障经办机构配备工作人员，统一明确医疗保障经办机构员工队伍建设的编制依据，建立职业化、专业化的医保经办队伍，巩固医疗保障经办的人力根基。</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——优化经办服务。</w:t>
      </w:r>
      <w:r>
        <w:rPr>
          <w:rFonts w:hint="eastAsia" w:ascii="仿宋" w:hAnsi="仿宋" w:eastAsia="仿宋"/>
          <w:color w:val="auto"/>
          <w:sz w:val="28"/>
          <w:szCs w:val="28"/>
          <w:highlight w:val="none"/>
        </w:rPr>
        <w:t>实现医疗保障事项一次办好、经办业务全城通办、政务服务事项一网通办及困难人员医疗保险、医疗救助待遇“一站式”结算。大力推进服务下沉，实现市、县、乡镇（街道）、村（社区）全覆盖。</w:t>
      </w:r>
    </w:p>
    <w:p>
      <w:pPr>
        <w:spacing w:line="400" w:lineRule="atLeas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w:t>
      </w:r>
      <w:r>
        <w:rPr>
          <w:rFonts w:ascii="仿宋" w:hAnsi="仿宋" w:eastAsia="仿宋"/>
          <w:b/>
          <w:bCs/>
          <w:color w:val="auto"/>
          <w:sz w:val="28"/>
          <w:szCs w:val="28"/>
          <w:highlight w:val="none"/>
        </w:rPr>
        <w:t>持续推进医保治理创新</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——积极引入社会力量参与经办服务。</w:t>
      </w:r>
      <w:r>
        <w:rPr>
          <w:rFonts w:hint="eastAsia" w:ascii="仿宋" w:hAnsi="仿宋" w:eastAsia="仿宋"/>
          <w:color w:val="auto"/>
          <w:sz w:val="28"/>
          <w:szCs w:val="28"/>
          <w:highlight w:val="none"/>
        </w:rPr>
        <w:t>推进政保合作、政银合作模式，分担经办机构的负担，节约成本，提高服务效率和质量。建立与相关职能部门及商业保险机构等社会相关领域的沟通交流机制，规范和加强与商业保险机构、社会组织等的合作，完善激励约束机制，力争实现共建共治共享的医保治理格局。</w:t>
      </w:r>
    </w:p>
    <w:p>
      <w:pPr>
        <w:spacing w:line="400" w:lineRule="atLeast"/>
        <w:ind w:firstLine="562" w:firstLineChars="200"/>
        <w:rPr>
          <w:rStyle w:val="18"/>
          <w:rFonts w:ascii="仿宋" w:hAnsi="仿宋" w:eastAsia="仿宋"/>
          <w:b w:val="0"/>
          <w:color w:val="auto"/>
          <w:sz w:val="28"/>
          <w:szCs w:val="28"/>
          <w:highlight w:val="none"/>
        </w:rPr>
      </w:pPr>
      <w:r>
        <w:rPr>
          <w:rFonts w:hint="eastAsia" w:ascii="仿宋" w:hAnsi="仿宋" w:eastAsia="仿宋"/>
          <w:b/>
          <w:bCs/>
          <w:color w:val="auto"/>
          <w:sz w:val="28"/>
          <w:szCs w:val="28"/>
          <w:highlight w:val="none"/>
        </w:rPr>
        <w:t>——构建跨区域医保管理协作机制。</w:t>
      </w:r>
      <w:r>
        <w:rPr>
          <w:rFonts w:hint="eastAsia" w:ascii="仿宋" w:hAnsi="仿宋" w:eastAsia="仿宋"/>
          <w:color w:val="auto"/>
          <w:sz w:val="28"/>
          <w:szCs w:val="28"/>
          <w:highlight w:val="none"/>
        </w:rPr>
        <w:t>建立粤港澳大湾区等跨区域医保管理协作机制，实现全流程、无缝隙公共服务和基金监管。</w:t>
      </w:r>
      <w:bookmarkStart w:id="17" w:name="_Toc52721348"/>
    </w:p>
    <w:p>
      <w:pPr>
        <w:pStyle w:val="4"/>
        <w:spacing w:before="20" w:after="140"/>
        <w:ind w:firstLine="643"/>
        <w:jc w:val="center"/>
        <w:rPr>
          <w:rStyle w:val="18"/>
          <w:rFonts w:ascii="宋体" w:hAnsi="宋体" w:eastAsia="宋体" w:cs="黑体"/>
          <w:b/>
          <w:color w:val="auto"/>
          <w:highlight w:val="none"/>
        </w:rPr>
      </w:pPr>
      <w:r>
        <w:rPr>
          <w:rStyle w:val="18"/>
          <w:rFonts w:hint="eastAsia" w:ascii="宋体" w:hAnsi="宋体" w:eastAsia="宋体" w:cs="黑体"/>
          <w:b/>
          <w:color w:val="auto"/>
          <w:highlight w:val="none"/>
        </w:rPr>
        <w:t>四、</w:t>
      </w:r>
      <w:r>
        <w:rPr>
          <w:rStyle w:val="18"/>
          <w:rFonts w:ascii="宋体" w:hAnsi="宋体" w:eastAsia="宋体" w:cs="黑体"/>
          <w:b/>
          <w:color w:val="auto"/>
          <w:highlight w:val="none"/>
        </w:rPr>
        <w:t>保障措施</w:t>
      </w:r>
      <w:bookmarkEnd w:id="17"/>
    </w:p>
    <w:p>
      <w:pPr>
        <w:pStyle w:val="5"/>
        <w:spacing w:before="140" w:after="20" w:line="400" w:lineRule="atLeast"/>
        <w:ind w:firstLine="562" w:firstLineChars="200"/>
        <w:jc w:val="left"/>
        <w:rPr>
          <w:rFonts w:ascii="仿宋" w:hAnsi="仿宋" w:cs="宋体"/>
          <w:color w:val="auto"/>
          <w:szCs w:val="28"/>
          <w:highlight w:val="none"/>
        </w:rPr>
      </w:pPr>
      <w:bookmarkStart w:id="18" w:name="_Toc52721349"/>
      <w:r>
        <w:rPr>
          <w:rFonts w:hint="eastAsia" w:ascii="仿宋" w:hAnsi="仿宋" w:cs="宋体"/>
          <w:color w:val="auto"/>
          <w:szCs w:val="28"/>
          <w:highlight w:val="none"/>
        </w:rPr>
        <w:t>（一）法制保障</w:t>
      </w:r>
      <w:bookmarkEnd w:id="18"/>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——推动医疗保障制度步入法制化轨道。</w:t>
      </w:r>
      <w:r>
        <w:rPr>
          <w:rFonts w:hint="eastAsia" w:ascii="仿宋" w:hAnsi="仿宋" w:eastAsia="仿宋"/>
          <w:color w:val="auto"/>
          <w:sz w:val="28"/>
          <w:szCs w:val="28"/>
          <w:highlight w:val="none"/>
        </w:rPr>
        <w:t>根据国家、省、江门市层面的医保政策及改革方向，明确医疗保障制度的框架体系、政府责任、筹资机制与责任分担比例、管理体制以及经办机制、监督机制等，对基本医疗保险、补充医疗保险进行全面规制。</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——加强宣传教育，提髙法治意识。</w:t>
      </w:r>
      <w:r>
        <w:rPr>
          <w:rFonts w:hint="eastAsia" w:ascii="仿宋" w:hAnsi="仿宋" w:eastAsia="仿宋"/>
          <w:color w:val="auto"/>
          <w:sz w:val="28"/>
          <w:szCs w:val="28"/>
          <w:highlight w:val="none"/>
        </w:rPr>
        <w:t>加大宣传教育力度，推进医疗保障依法治理的意识。严格依法办事、树立法治精神，切实提高运用法治思维和法治方式深化改革、严格监管、推动发展的能力。创新宣传手段和方法，广泛借助传统及新兴媒介等多种渠道，积极开展社会普法宣传，进一步提高民众守法意识。</w:t>
      </w:r>
    </w:p>
    <w:p>
      <w:pPr>
        <w:pStyle w:val="5"/>
        <w:spacing w:before="140" w:after="20" w:line="400" w:lineRule="atLeast"/>
        <w:ind w:firstLine="562" w:firstLineChars="200"/>
        <w:jc w:val="left"/>
        <w:rPr>
          <w:rFonts w:ascii="仿宋" w:hAnsi="仿宋" w:cs="宋体"/>
          <w:color w:val="auto"/>
          <w:szCs w:val="28"/>
          <w:highlight w:val="none"/>
        </w:rPr>
      </w:pPr>
      <w:bookmarkStart w:id="19" w:name="_Toc52721350"/>
      <w:r>
        <w:rPr>
          <w:rFonts w:hint="eastAsia" w:ascii="仿宋" w:hAnsi="仿宋" w:cs="宋体"/>
          <w:color w:val="auto"/>
          <w:szCs w:val="28"/>
          <w:highlight w:val="none"/>
        </w:rPr>
        <w:t>（二）</w:t>
      </w:r>
      <w:r>
        <w:rPr>
          <w:rFonts w:ascii="仿宋" w:hAnsi="仿宋" w:cs="宋体"/>
          <w:color w:val="auto"/>
          <w:szCs w:val="28"/>
          <w:highlight w:val="none"/>
        </w:rPr>
        <w:t>组织保障</w:t>
      </w:r>
      <w:bookmarkEnd w:id="19"/>
    </w:p>
    <w:p>
      <w:pPr>
        <w:ind w:firstLine="562" w:firstLineChars="200"/>
        <w:rPr>
          <w:rFonts w:ascii="仿宋_GB2312" w:eastAsia="仿宋_GB2312"/>
          <w:color w:val="auto"/>
          <w:kern w:val="0"/>
          <w:sz w:val="28"/>
          <w:szCs w:val="28"/>
          <w:highlight w:val="none"/>
        </w:rPr>
      </w:pPr>
      <w:r>
        <w:rPr>
          <w:rFonts w:hint="eastAsia" w:ascii="仿宋_GB2312" w:eastAsia="仿宋_GB2312"/>
          <w:b/>
          <w:bCs/>
          <w:color w:val="auto"/>
          <w:kern w:val="0"/>
          <w:sz w:val="28"/>
          <w:szCs w:val="28"/>
          <w:highlight w:val="none"/>
        </w:rPr>
        <w:t>——建立部门协同机制。</w:t>
      </w:r>
      <w:r>
        <w:rPr>
          <w:rFonts w:hint="eastAsia" w:ascii="仿宋_GB2312" w:eastAsia="仿宋_GB2312"/>
          <w:color w:val="auto"/>
          <w:kern w:val="0"/>
          <w:sz w:val="28"/>
          <w:szCs w:val="28"/>
          <w:highlight w:val="none"/>
        </w:rPr>
        <w:t>建立医疗保险基金安全监管部门联席会议制度，不定期召开部门联席会，及时协调解决重大问题。加强各部门之间的信息共享，加强围绕医保主体的涉医涉药及相关信息衔接。建立重大、专项行动检查人员库，各部门共同派人组建检查人员库，动态调整维护，以加强各部门之间的有机联动。</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——加强医保宣传教育。</w:t>
      </w:r>
      <w:r>
        <w:rPr>
          <w:rFonts w:hint="eastAsia" w:ascii="仿宋" w:hAnsi="仿宋" w:eastAsia="仿宋"/>
          <w:color w:val="auto"/>
          <w:sz w:val="28"/>
          <w:szCs w:val="28"/>
          <w:highlight w:val="none"/>
        </w:rPr>
        <w:t>根据国家医保政策调整力度大、频次快的特点，把医保政策宣传作为落实医保惠民政策的重要抓手。督促全市各定点医疗机构和定点零售药店，充分利用广播电视、微信、门户网站、经办窗口、宣传栏等多种渠道，采取多种形式，向广大群众宣传医疗保障法律、法规、政策，提升民众对医保政策的知晓率。对定点医疗机构存在的低指征入院、违规收费、重复检查、过度医疗等行为，以及定点零售药店存在的社会保障卡刷生活用品、违规套取医保资金等行为，加强警示教育宣传。</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——加强监管力量。</w:t>
      </w:r>
      <w:r>
        <w:rPr>
          <w:rFonts w:hint="eastAsia" w:ascii="仿宋" w:hAnsi="仿宋" w:eastAsia="仿宋"/>
          <w:color w:val="auto"/>
          <w:sz w:val="28"/>
          <w:szCs w:val="28"/>
          <w:highlight w:val="none"/>
        </w:rPr>
        <w:t>明确市医保部门的监管职责，加强与监察、公安、卫健、市场监督管理、药品监督管理、审计等部门协调配合，形成医疗保障基金综合监管合力。通过全面调查、抽查、受理举报投诉等方式，对医疗机构及药品经营单位等医疗保险服务机构、承办医疗保障业务的经办机构和商业保险机构、用人单位、参保人员遵守医疗保障相关法律、法规和规章的情况进行监督检查。充分利用智能监控等手段不断提升对医疗保障制度特别是医保基金的监管能力和水平。对违法违规行为，依法作出行政处理处罚决定；涉及医保方面的欺诈行为等涉嫌犯罪的，移送司法机关。</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——进一步加强社会监督。</w:t>
      </w:r>
      <w:r>
        <w:rPr>
          <w:rFonts w:hint="eastAsia" w:ascii="仿宋" w:hAnsi="仿宋" w:eastAsia="仿宋"/>
          <w:color w:val="auto"/>
          <w:sz w:val="28"/>
          <w:szCs w:val="28"/>
          <w:highlight w:val="none"/>
        </w:rPr>
        <w:t>各级医保部门经办机构、大病保险承保机构建立定期沟通联系机制，指定专人负责社会义务监督员的管理和联络工作，定期召开座谈会，听取社会义务监督员的意见和建议。同时探索通过引入第三方评价、信用评价与诚信体系的建设、推进行业协会自律等方式，引导社会各界积极规范有序地参与医保监督。</w:t>
      </w:r>
    </w:p>
    <w:p>
      <w:pPr>
        <w:pStyle w:val="5"/>
        <w:spacing w:before="140" w:after="20" w:line="400" w:lineRule="atLeast"/>
        <w:ind w:firstLine="562" w:firstLineChars="200"/>
        <w:jc w:val="left"/>
        <w:rPr>
          <w:rFonts w:ascii="仿宋" w:hAnsi="仿宋" w:cs="宋体"/>
          <w:color w:val="auto"/>
          <w:szCs w:val="28"/>
          <w:highlight w:val="none"/>
        </w:rPr>
      </w:pPr>
      <w:bookmarkStart w:id="20" w:name="_Toc52721351"/>
      <w:r>
        <w:rPr>
          <w:rFonts w:hint="eastAsia" w:ascii="仿宋" w:hAnsi="仿宋" w:cs="宋体"/>
          <w:color w:val="auto"/>
          <w:szCs w:val="28"/>
          <w:highlight w:val="none"/>
        </w:rPr>
        <w:t>（三）</w:t>
      </w:r>
      <w:r>
        <w:rPr>
          <w:rFonts w:ascii="仿宋" w:hAnsi="仿宋" w:cs="宋体"/>
          <w:color w:val="auto"/>
          <w:szCs w:val="28"/>
          <w:highlight w:val="none"/>
        </w:rPr>
        <w:t>能力保障</w:t>
      </w:r>
      <w:bookmarkEnd w:id="20"/>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——推进“智慧医保”建设。</w:t>
      </w:r>
      <w:r>
        <w:rPr>
          <w:rFonts w:hint="eastAsia" w:ascii="仿宋" w:hAnsi="仿宋" w:eastAsia="仿宋"/>
          <w:color w:val="auto"/>
          <w:sz w:val="28"/>
          <w:szCs w:val="28"/>
          <w:highlight w:val="none"/>
        </w:rPr>
        <w:t>协助推进“统一、高效、兼容、便捷、安全”的医疗保障信息平台落地，结合互联网、云计算等推进“智慧医保”建设，全面提高医疗保障科学化管理水平，有效提高医疗保障服务质量，促进医疗保障治理现代化。</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——加强医保大数据的应用。</w:t>
      </w:r>
      <w:r>
        <w:rPr>
          <w:rFonts w:hint="eastAsia" w:ascii="仿宋" w:hAnsi="仿宋" w:eastAsia="仿宋"/>
          <w:color w:val="auto"/>
          <w:sz w:val="28"/>
          <w:szCs w:val="28"/>
          <w:highlight w:val="none"/>
        </w:rPr>
        <w:t>通过大数据来不断完善监控指标体系，建立自动监控报警机制等，为上审核下稽核提供有效依据。运用医保大数据有效监控异地就医行为、线上的医保移动支付行为。运用医保大数据手段，不断优化医保结算政策，支撑医保支付方式改革。</w:t>
      </w:r>
    </w:p>
    <w:p>
      <w:pPr>
        <w:spacing w:line="400" w:lineRule="atLeas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——加强医疗保障人才队伍建设。</w:t>
      </w:r>
      <w:r>
        <w:rPr>
          <w:rFonts w:hint="eastAsia" w:ascii="仿宋" w:hAnsi="仿宋" w:eastAsia="仿宋"/>
          <w:color w:val="auto"/>
          <w:sz w:val="28"/>
          <w:szCs w:val="28"/>
          <w:highlight w:val="none"/>
        </w:rPr>
        <w:t>根据开平市的实际情况，补充并优化医保人才队伍人员配备，以应对急速增长的工作任务。不断提高医疗保障工作人员的专业素养，努力培养以医疗专业背景为主，包括经济学、管理学、信息技术等领域的既懂政策经办、又懂信息化的复合型技术人才。</w:t>
      </w:r>
    </w:p>
    <w:p>
      <w:pPr>
        <w:spacing w:line="400" w:lineRule="atLeast"/>
        <w:ind w:firstLine="562" w:firstLineChars="200"/>
        <w:rPr>
          <w:rFonts w:ascii="仿宋" w:hAnsi="仿宋" w:eastAsia="仿宋"/>
          <w:b/>
          <w:bCs/>
          <w:color w:val="auto"/>
          <w:sz w:val="28"/>
          <w:szCs w:val="28"/>
          <w:highlight w:val="none"/>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ongti SC Regular">
    <w:altName w:val="Arial Unicode MS"/>
    <w:panose1 w:val="00000000000000000000"/>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25</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32E0"/>
    <w:rsid w:val="00000F6A"/>
    <w:rsid w:val="0001690E"/>
    <w:rsid w:val="00024ACE"/>
    <w:rsid w:val="00027B29"/>
    <w:rsid w:val="00034C3E"/>
    <w:rsid w:val="00034D33"/>
    <w:rsid w:val="00034DD8"/>
    <w:rsid w:val="0003759C"/>
    <w:rsid w:val="00042454"/>
    <w:rsid w:val="00042DC8"/>
    <w:rsid w:val="000455AD"/>
    <w:rsid w:val="00053B36"/>
    <w:rsid w:val="00056253"/>
    <w:rsid w:val="0006163E"/>
    <w:rsid w:val="000726BD"/>
    <w:rsid w:val="000769E8"/>
    <w:rsid w:val="00076E05"/>
    <w:rsid w:val="00082EDC"/>
    <w:rsid w:val="000859D6"/>
    <w:rsid w:val="00092B40"/>
    <w:rsid w:val="00093EC7"/>
    <w:rsid w:val="000A06C5"/>
    <w:rsid w:val="000A5684"/>
    <w:rsid w:val="000A5ED3"/>
    <w:rsid w:val="000A6864"/>
    <w:rsid w:val="000A7572"/>
    <w:rsid w:val="000B11D5"/>
    <w:rsid w:val="000B4FB2"/>
    <w:rsid w:val="000C0B61"/>
    <w:rsid w:val="000C111B"/>
    <w:rsid w:val="000D4741"/>
    <w:rsid w:val="000D59FB"/>
    <w:rsid w:val="000E0DE3"/>
    <w:rsid w:val="000E2FBA"/>
    <w:rsid w:val="000E5E7E"/>
    <w:rsid w:val="000E749A"/>
    <w:rsid w:val="000F3959"/>
    <w:rsid w:val="000F4FA3"/>
    <w:rsid w:val="00103DA8"/>
    <w:rsid w:val="00105846"/>
    <w:rsid w:val="00110A88"/>
    <w:rsid w:val="00111BBB"/>
    <w:rsid w:val="00115331"/>
    <w:rsid w:val="00120947"/>
    <w:rsid w:val="001219D3"/>
    <w:rsid w:val="0012529A"/>
    <w:rsid w:val="00127845"/>
    <w:rsid w:val="00134712"/>
    <w:rsid w:val="00136CE2"/>
    <w:rsid w:val="0014046F"/>
    <w:rsid w:val="0014676D"/>
    <w:rsid w:val="00153C46"/>
    <w:rsid w:val="001545CE"/>
    <w:rsid w:val="00177AAD"/>
    <w:rsid w:val="001931F6"/>
    <w:rsid w:val="0019617B"/>
    <w:rsid w:val="001A30CE"/>
    <w:rsid w:val="001B4D2B"/>
    <w:rsid w:val="001C1096"/>
    <w:rsid w:val="001C4530"/>
    <w:rsid w:val="001D379D"/>
    <w:rsid w:val="001E44F5"/>
    <w:rsid w:val="001E66A7"/>
    <w:rsid w:val="001E75BE"/>
    <w:rsid w:val="00221181"/>
    <w:rsid w:val="00222EF5"/>
    <w:rsid w:val="0023076D"/>
    <w:rsid w:val="00237BE6"/>
    <w:rsid w:val="00240C09"/>
    <w:rsid w:val="00243685"/>
    <w:rsid w:val="00244BB4"/>
    <w:rsid w:val="0024516B"/>
    <w:rsid w:val="002506F3"/>
    <w:rsid w:val="002535E1"/>
    <w:rsid w:val="00254F04"/>
    <w:rsid w:val="00255124"/>
    <w:rsid w:val="0026476E"/>
    <w:rsid w:val="002657C3"/>
    <w:rsid w:val="00265823"/>
    <w:rsid w:val="00265931"/>
    <w:rsid w:val="00271F46"/>
    <w:rsid w:val="00273842"/>
    <w:rsid w:val="002748AC"/>
    <w:rsid w:val="00277E7A"/>
    <w:rsid w:val="002835ED"/>
    <w:rsid w:val="00284510"/>
    <w:rsid w:val="00284ACE"/>
    <w:rsid w:val="00285FC8"/>
    <w:rsid w:val="002939F0"/>
    <w:rsid w:val="002B1216"/>
    <w:rsid w:val="002B7A02"/>
    <w:rsid w:val="002C0C85"/>
    <w:rsid w:val="002C2303"/>
    <w:rsid w:val="002D31B4"/>
    <w:rsid w:val="002E5A83"/>
    <w:rsid w:val="002F61C5"/>
    <w:rsid w:val="00304BE3"/>
    <w:rsid w:val="00314072"/>
    <w:rsid w:val="00314FD8"/>
    <w:rsid w:val="00317B5D"/>
    <w:rsid w:val="00317FBC"/>
    <w:rsid w:val="003203AA"/>
    <w:rsid w:val="0032593E"/>
    <w:rsid w:val="00333C6B"/>
    <w:rsid w:val="00336F6D"/>
    <w:rsid w:val="003417BD"/>
    <w:rsid w:val="00352A83"/>
    <w:rsid w:val="00365858"/>
    <w:rsid w:val="003676AB"/>
    <w:rsid w:val="00367BA5"/>
    <w:rsid w:val="0037564E"/>
    <w:rsid w:val="003763A7"/>
    <w:rsid w:val="003772A0"/>
    <w:rsid w:val="00381297"/>
    <w:rsid w:val="00385CAA"/>
    <w:rsid w:val="00390FD0"/>
    <w:rsid w:val="003A38D0"/>
    <w:rsid w:val="003C74D0"/>
    <w:rsid w:val="003D31E9"/>
    <w:rsid w:val="003D5229"/>
    <w:rsid w:val="003D7C09"/>
    <w:rsid w:val="003E1992"/>
    <w:rsid w:val="003E3D63"/>
    <w:rsid w:val="003E6BA1"/>
    <w:rsid w:val="003E7EE2"/>
    <w:rsid w:val="003F4F02"/>
    <w:rsid w:val="003F637E"/>
    <w:rsid w:val="00401759"/>
    <w:rsid w:val="00402A78"/>
    <w:rsid w:val="00416C0F"/>
    <w:rsid w:val="0042278B"/>
    <w:rsid w:val="0042479B"/>
    <w:rsid w:val="004252B9"/>
    <w:rsid w:val="004259DE"/>
    <w:rsid w:val="00426A0F"/>
    <w:rsid w:val="00432468"/>
    <w:rsid w:val="0043586B"/>
    <w:rsid w:val="00445DA8"/>
    <w:rsid w:val="00450489"/>
    <w:rsid w:val="00453B75"/>
    <w:rsid w:val="00454CED"/>
    <w:rsid w:val="004558F3"/>
    <w:rsid w:val="00456804"/>
    <w:rsid w:val="00457F23"/>
    <w:rsid w:val="00471DE0"/>
    <w:rsid w:val="00472954"/>
    <w:rsid w:val="00477B83"/>
    <w:rsid w:val="0049266B"/>
    <w:rsid w:val="004A0A60"/>
    <w:rsid w:val="004B1CBA"/>
    <w:rsid w:val="004B3750"/>
    <w:rsid w:val="004B4194"/>
    <w:rsid w:val="004B7279"/>
    <w:rsid w:val="004C3818"/>
    <w:rsid w:val="004E17DE"/>
    <w:rsid w:val="004F0E57"/>
    <w:rsid w:val="004F1E7C"/>
    <w:rsid w:val="004F4BC6"/>
    <w:rsid w:val="004F4E61"/>
    <w:rsid w:val="004F6A26"/>
    <w:rsid w:val="004F7097"/>
    <w:rsid w:val="00512B19"/>
    <w:rsid w:val="00525634"/>
    <w:rsid w:val="00526C27"/>
    <w:rsid w:val="0053057B"/>
    <w:rsid w:val="00533DBC"/>
    <w:rsid w:val="00534110"/>
    <w:rsid w:val="00535834"/>
    <w:rsid w:val="00552CBB"/>
    <w:rsid w:val="00564425"/>
    <w:rsid w:val="00566DAA"/>
    <w:rsid w:val="0057031E"/>
    <w:rsid w:val="0057226D"/>
    <w:rsid w:val="00572D71"/>
    <w:rsid w:val="0057366E"/>
    <w:rsid w:val="005737B2"/>
    <w:rsid w:val="00574E3E"/>
    <w:rsid w:val="00583CE5"/>
    <w:rsid w:val="005859D2"/>
    <w:rsid w:val="005937A7"/>
    <w:rsid w:val="00594358"/>
    <w:rsid w:val="00597183"/>
    <w:rsid w:val="005A1964"/>
    <w:rsid w:val="005A4F83"/>
    <w:rsid w:val="005A6B94"/>
    <w:rsid w:val="005B13CB"/>
    <w:rsid w:val="005B1CF6"/>
    <w:rsid w:val="005B39AF"/>
    <w:rsid w:val="005B7F9A"/>
    <w:rsid w:val="005C0B0B"/>
    <w:rsid w:val="005C3504"/>
    <w:rsid w:val="005C4BC5"/>
    <w:rsid w:val="005C60BF"/>
    <w:rsid w:val="005D14E8"/>
    <w:rsid w:val="005D1B6B"/>
    <w:rsid w:val="005E044A"/>
    <w:rsid w:val="005F3F64"/>
    <w:rsid w:val="005F5114"/>
    <w:rsid w:val="005F661B"/>
    <w:rsid w:val="005F7FE8"/>
    <w:rsid w:val="00601511"/>
    <w:rsid w:val="0060232E"/>
    <w:rsid w:val="00607278"/>
    <w:rsid w:val="00613851"/>
    <w:rsid w:val="00620459"/>
    <w:rsid w:val="00625D70"/>
    <w:rsid w:val="006261A5"/>
    <w:rsid w:val="00627B39"/>
    <w:rsid w:val="0063060F"/>
    <w:rsid w:val="00631530"/>
    <w:rsid w:val="00633E0C"/>
    <w:rsid w:val="00642572"/>
    <w:rsid w:val="006431FA"/>
    <w:rsid w:val="00643D75"/>
    <w:rsid w:val="006508E4"/>
    <w:rsid w:val="00651403"/>
    <w:rsid w:val="0065373C"/>
    <w:rsid w:val="00662ED4"/>
    <w:rsid w:val="00664676"/>
    <w:rsid w:val="0066767F"/>
    <w:rsid w:val="00670144"/>
    <w:rsid w:val="00672FA1"/>
    <w:rsid w:val="006869FA"/>
    <w:rsid w:val="006876BD"/>
    <w:rsid w:val="006952FA"/>
    <w:rsid w:val="006A31BE"/>
    <w:rsid w:val="006A3F1E"/>
    <w:rsid w:val="006A493F"/>
    <w:rsid w:val="006A5CD9"/>
    <w:rsid w:val="006B10CB"/>
    <w:rsid w:val="006B7750"/>
    <w:rsid w:val="006C3B94"/>
    <w:rsid w:val="006D2B92"/>
    <w:rsid w:val="006F2BE8"/>
    <w:rsid w:val="006F3BD1"/>
    <w:rsid w:val="006F448A"/>
    <w:rsid w:val="006F4AC3"/>
    <w:rsid w:val="00700C19"/>
    <w:rsid w:val="00705B4E"/>
    <w:rsid w:val="00714B09"/>
    <w:rsid w:val="00720126"/>
    <w:rsid w:val="00721CB3"/>
    <w:rsid w:val="00725FE3"/>
    <w:rsid w:val="007269AD"/>
    <w:rsid w:val="00730DAB"/>
    <w:rsid w:val="007319BE"/>
    <w:rsid w:val="00731B5E"/>
    <w:rsid w:val="007337CF"/>
    <w:rsid w:val="00735EC3"/>
    <w:rsid w:val="00737859"/>
    <w:rsid w:val="0074676C"/>
    <w:rsid w:val="00750BA3"/>
    <w:rsid w:val="007514B1"/>
    <w:rsid w:val="0075278C"/>
    <w:rsid w:val="007552C7"/>
    <w:rsid w:val="00755434"/>
    <w:rsid w:val="007562CC"/>
    <w:rsid w:val="007663A3"/>
    <w:rsid w:val="007673C5"/>
    <w:rsid w:val="0076793C"/>
    <w:rsid w:val="007750F5"/>
    <w:rsid w:val="00777415"/>
    <w:rsid w:val="0077776E"/>
    <w:rsid w:val="00777B24"/>
    <w:rsid w:val="00782212"/>
    <w:rsid w:val="0078543E"/>
    <w:rsid w:val="007875EC"/>
    <w:rsid w:val="00795BF1"/>
    <w:rsid w:val="007A3855"/>
    <w:rsid w:val="007A4418"/>
    <w:rsid w:val="007A4755"/>
    <w:rsid w:val="007B048A"/>
    <w:rsid w:val="007B47B8"/>
    <w:rsid w:val="007C09FF"/>
    <w:rsid w:val="007C7B27"/>
    <w:rsid w:val="007D2474"/>
    <w:rsid w:val="007D79F8"/>
    <w:rsid w:val="007E7841"/>
    <w:rsid w:val="007F71B5"/>
    <w:rsid w:val="00801BE5"/>
    <w:rsid w:val="008133A9"/>
    <w:rsid w:val="00821731"/>
    <w:rsid w:val="008226FD"/>
    <w:rsid w:val="00830A39"/>
    <w:rsid w:val="00832A11"/>
    <w:rsid w:val="008426E4"/>
    <w:rsid w:val="008448B1"/>
    <w:rsid w:val="0084716F"/>
    <w:rsid w:val="0085496E"/>
    <w:rsid w:val="00857D5F"/>
    <w:rsid w:val="00861443"/>
    <w:rsid w:val="00861847"/>
    <w:rsid w:val="008707AC"/>
    <w:rsid w:val="00870BBF"/>
    <w:rsid w:val="008732E0"/>
    <w:rsid w:val="008769E4"/>
    <w:rsid w:val="008774EF"/>
    <w:rsid w:val="00880248"/>
    <w:rsid w:val="008848DB"/>
    <w:rsid w:val="00887FAB"/>
    <w:rsid w:val="0089031D"/>
    <w:rsid w:val="00891302"/>
    <w:rsid w:val="008944F8"/>
    <w:rsid w:val="008A2D04"/>
    <w:rsid w:val="008B0074"/>
    <w:rsid w:val="008B08AA"/>
    <w:rsid w:val="008B34A8"/>
    <w:rsid w:val="008C3806"/>
    <w:rsid w:val="008C773E"/>
    <w:rsid w:val="008D3D29"/>
    <w:rsid w:val="008E1F83"/>
    <w:rsid w:val="008E5811"/>
    <w:rsid w:val="00900A4B"/>
    <w:rsid w:val="00910590"/>
    <w:rsid w:val="0091472A"/>
    <w:rsid w:val="00916FD0"/>
    <w:rsid w:val="00921A8F"/>
    <w:rsid w:val="0092334A"/>
    <w:rsid w:val="00942B1A"/>
    <w:rsid w:val="00953D78"/>
    <w:rsid w:val="0095684F"/>
    <w:rsid w:val="00956A3B"/>
    <w:rsid w:val="00971A7B"/>
    <w:rsid w:val="00974158"/>
    <w:rsid w:val="00980F65"/>
    <w:rsid w:val="00985383"/>
    <w:rsid w:val="009941C2"/>
    <w:rsid w:val="00994B58"/>
    <w:rsid w:val="00997BD7"/>
    <w:rsid w:val="009A61C6"/>
    <w:rsid w:val="009C1A7F"/>
    <w:rsid w:val="009C4018"/>
    <w:rsid w:val="009E52D0"/>
    <w:rsid w:val="009F0066"/>
    <w:rsid w:val="009F110D"/>
    <w:rsid w:val="009F5C2F"/>
    <w:rsid w:val="009F6D1D"/>
    <w:rsid w:val="00A03EAD"/>
    <w:rsid w:val="00A0617D"/>
    <w:rsid w:val="00A10D82"/>
    <w:rsid w:val="00A116CF"/>
    <w:rsid w:val="00A3139B"/>
    <w:rsid w:val="00A33720"/>
    <w:rsid w:val="00A43862"/>
    <w:rsid w:val="00A4622E"/>
    <w:rsid w:val="00A57AAD"/>
    <w:rsid w:val="00A63BE6"/>
    <w:rsid w:val="00A7313E"/>
    <w:rsid w:val="00A74023"/>
    <w:rsid w:val="00A74712"/>
    <w:rsid w:val="00A807EF"/>
    <w:rsid w:val="00A815C0"/>
    <w:rsid w:val="00A82F54"/>
    <w:rsid w:val="00A90F6D"/>
    <w:rsid w:val="00A94A18"/>
    <w:rsid w:val="00A96A9C"/>
    <w:rsid w:val="00AA11CC"/>
    <w:rsid w:val="00AA44F5"/>
    <w:rsid w:val="00AA4839"/>
    <w:rsid w:val="00AB6006"/>
    <w:rsid w:val="00AC0631"/>
    <w:rsid w:val="00AD1611"/>
    <w:rsid w:val="00AD3FB8"/>
    <w:rsid w:val="00AD580B"/>
    <w:rsid w:val="00AD5A4A"/>
    <w:rsid w:val="00AE525C"/>
    <w:rsid w:val="00AE6526"/>
    <w:rsid w:val="00AF0BEA"/>
    <w:rsid w:val="00AF68D4"/>
    <w:rsid w:val="00B01DAB"/>
    <w:rsid w:val="00B0551A"/>
    <w:rsid w:val="00B17978"/>
    <w:rsid w:val="00B22E41"/>
    <w:rsid w:val="00B23442"/>
    <w:rsid w:val="00B25326"/>
    <w:rsid w:val="00B32085"/>
    <w:rsid w:val="00B43408"/>
    <w:rsid w:val="00B43D9C"/>
    <w:rsid w:val="00B46572"/>
    <w:rsid w:val="00B46FC6"/>
    <w:rsid w:val="00B47DF0"/>
    <w:rsid w:val="00B53952"/>
    <w:rsid w:val="00B721EC"/>
    <w:rsid w:val="00B83FA4"/>
    <w:rsid w:val="00B84E6B"/>
    <w:rsid w:val="00B92015"/>
    <w:rsid w:val="00B92C2D"/>
    <w:rsid w:val="00B944AB"/>
    <w:rsid w:val="00B95EF6"/>
    <w:rsid w:val="00BA05A7"/>
    <w:rsid w:val="00BA470D"/>
    <w:rsid w:val="00BB0D1F"/>
    <w:rsid w:val="00BB3E8B"/>
    <w:rsid w:val="00BB5F9B"/>
    <w:rsid w:val="00BB62D5"/>
    <w:rsid w:val="00BB6B57"/>
    <w:rsid w:val="00BC209F"/>
    <w:rsid w:val="00BC329A"/>
    <w:rsid w:val="00BD2B39"/>
    <w:rsid w:val="00BF0451"/>
    <w:rsid w:val="00C0054C"/>
    <w:rsid w:val="00C0182B"/>
    <w:rsid w:val="00C03603"/>
    <w:rsid w:val="00C07FA4"/>
    <w:rsid w:val="00C1293F"/>
    <w:rsid w:val="00C24E45"/>
    <w:rsid w:val="00C40262"/>
    <w:rsid w:val="00C42342"/>
    <w:rsid w:val="00C4368A"/>
    <w:rsid w:val="00C445E4"/>
    <w:rsid w:val="00C53215"/>
    <w:rsid w:val="00C5551F"/>
    <w:rsid w:val="00C56E64"/>
    <w:rsid w:val="00C575F4"/>
    <w:rsid w:val="00C64B3C"/>
    <w:rsid w:val="00C66FB7"/>
    <w:rsid w:val="00C7319F"/>
    <w:rsid w:val="00C73372"/>
    <w:rsid w:val="00C8115E"/>
    <w:rsid w:val="00C81AE5"/>
    <w:rsid w:val="00C828DF"/>
    <w:rsid w:val="00C82C3C"/>
    <w:rsid w:val="00C844F0"/>
    <w:rsid w:val="00C85187"/>
    <w:rsid w:val="00C9280B"/>
    <w:rsid w:val="00C96517"/>
    <w:rsid w:val="00CA15C7"/>
    <w:rsid w:val="00CA33D0"/>
    <w:rsid w:val="00CA56BA"/>
    <w:rsid w:val="00CB05B5"/>
    <w:rsid w:val="00CC1A82"/>
    <w:rsid w:val="00CC3CB5"/>
    <w:rsid w:val="00CC4940"/>
    <w:rsid w:val="00CC521D"/>
    <w:rsid w:val="00CC6E76"/>
    <w:rsid w:val="00CC7C67"/>
    <w:rsid w:val="00CD0389"/>
    <w:rsid w:val="00CD2A74"/>
    <w:rsid w:val="00CD4F26"/>
    <w:rsid w:val="00CD6421"/>
    <w:rsid w:val="00CE313D"/>
    <w:rsid w:val="00CE3E9A"/>
    <w:rsid w:val="00CF3D13"/>
    <w:rsid w:val="00D10CEF"/>
    <w:rsid w:val="00D169FE"/>
    <w:rsid w:val="00D22B27"/>
    <w:rsid w:val="00D31ADB"/>
    <w:rsid w:val="00D3254E"/>
    <w:rsid w:val="00D32829"/>
    <w:rsid w:val="00D3496A"/>
    <w:rsid w:val="00D35CD4"/>
    <w:rsid w:val="00D37AD7"/>
    <w:rsid w:val="00D54703"/>
    <w:rsid w:val="00D60649"/>
    <w:rsid w:val="00D61C05"/>
    <w:rsid w:val="00D652DF"/>
    <w:rsid w:val="00D70B92"/>
    <w:rsid w:val="00D71C7A"/>
    <w:rsid w:val="00D76007"/>
    <w:rsid w:val="00D77792"/>
    <w:rsid w:val="00D82DAA"/>
    <w:rsid w:val="00D84363"/>
    <w:rsid w:val="00D84CA7"/>
    <w:rsid w:val="00D8751E"/>
    <w:rsid w:val="00DA059C"/>
    <w:rsid w:val="00DA0C7F"/>
    <w:rsid w:val="00DA3BEF"/>
    <w:rsid w:val="00DA4627"/>
    <w:rsid w:val="00DA5760"/>
    <w:rsid w:val="00DB0584"/>
    <w:rsid w:val="00DB3CDC"/>
    <w:rsid w:val="00DC1F14"/>
    <w:rsid w:val="00DC5574"/>
    <w:rsid w:val="00DC6252"/>
    <w:rsid w:val="00DC67E5"/>
    <w:rsid w:val="00DD3A35"/>
    <w:rsid w:val="00DF3817"/>
    <w:rsid w:val="00DF7172"/>
    <w:rsid w:val="00E008AC"/>
    <w:rsid w:val="00E03A0D"/>
    <w:rsid w:val="00E051CA"/>
    <w:rsid w:val="00E069E4"/>
    <w:rsid w:val="00E11EAA"/>
    <w:rsid w:val="00E16226"/>
    <w:rsid w:val="00E306A7"/>
    <w:rsid w:val="00E35FBC"/>
    <w:rsid w:val="00E502CD"/>
    <w:rsid w:val="00E66E56"/>
    <w:rsid w:val="00E6772A"/>
    <w:rsid w:val="00E678CD"/>
    <w:rsid w:val="00E70862"/>
    <w:rsid w:val="00E72658"/>
    <w:rsid w:val="00E757C1"/>
    <w:rsid w:val="00E75A4A"/>
    <w:rsid w:val="00E77211"/>
    <w:rsid w:val="00E80140"/>
    <w:rsid w:val="00E85A1F"/>
    <w:rsid w:val="00E87AA4"/>
    <w:rsid w:val="00E908FE"/>
    <w:rsid w:val="00E90AD0"/>
    <w:rsid w:val="00E96BD4"/>
    <w:rsid w:val="00EA2D96"/>
    <w:rsid w:val="00EA3902"/>
    <w:rsid w:val="00EA3C33"/>
    <w:rsid w:val="00EA65A5"/>
    <w:rsid w:val="00EC274A"/>
    <w:rsid w:val="00ED739F"/>
    <w:rsid w:val="00EE2768"/>
    <w:rsid w:val="00EE58A8"/>
    <w:rsid w:val="00EF4583"/>
    <w:rsid w:val="00EF5A02"/>
    <w:rsid w:val="00F03923"/>
    <w:rsid w:val="00F1402F"/>
    <w:rsid w:val="00F27B7C"/>
    <w:rsid w:val="00F436D0"/>
    <w:rsid w:val="00F52833"/>
    <w:rsid w:val="00F52D7F"/>
    <w:rsid w:val="00F67EAB"/>
    <w:rsid w:val="00F73016"/>
    <w:rsid w:val="00F7756B"/>
    <w:rsid w:val="00F9695B"/>
    <w:rsid w:val="00F97262"/>
    <w:rsid w:val="00FA0F0E"/>
    <w:rsid w:val="00FA2DB5"/>
    <w:rsid w:val="00FA3035"/>
    <w:rsid w:val="00FA6C06"/>
    <w:rsid w:val="00FB436D"/>
    <w:rsid w:val="00FB7AEB"/>
    <w:rsid w:val="00FD07BF"/>
    <w:rsid w:val="00FD290C"/>
    <w:rsid w:val="00FD412F"/>
    <w:rsid w:val="00FD5174"/>
    <w:rsid w:val="00FD54ED"/>
    <w:rsid w:val="00FE3693"/>
    <w:rsid w:val="00FE4AB6"/>
    <w:rsid w:val="00FE5E89"/>
    <w:rsid w:val="00FE65BB"/>
    <w:rsid w:val="00FE68F7"/>
    <w:rsid w:val="00FE6F95"/>
    <w:rsid w:val="00FF065D"/>
    <w:rsid w:val="00FF2666"/>
    <w:rsid w:val="00FF2AC1"/>
    <w:rsid w:val="00FF3623"/>
    <w:rsid w:val="00FF3C42"/>
    <w:rsid w:val="00FF4EAC"/>
    <w:rsid w:val="00FF77CA"/>
    <w:rsid w:val="01296229"/>
    <w:rsid w:val="05D62C4B"/>
    <w:rsid w:val="0693037F"/>
    <w:rsid w:val="07111AE5"/>
    <w:rsid w:val="07405909"/>
    <w:rsid w:val="076B3CA8"/>
    <w:rsid w:val="079A12DD"/>
    <w:rsid w:val="0856557E"/>
    <w:rsid w:val="0D696BF0"/>
    <w:rsid w:val="11515627"/>
    <w:rsid w:val="11A23469"/>
    <w:rsid w:val="12990BBE"/>
    <w:rsid w:val="15C134CA"/>
    <w:rsid w:val="194B4926"/>
    <w:rsid w:val="1D11696C"/>
    <w:rsid w:val="1F072DE1"/>
    <w:rsid w:val="20E87E5D"/>
    <w:rsid w:val="22514CF3"/>
    <w:rsid w:val="229A7144"/>
    <w:rsid w:val="24134456"/>
    <w:rsid w:val="244F44C6"/>
    <w:rsid w:val="2555723B"/>
    <w:rsid w:val="26450E06"/>
    <w:rsid w:val="27040627"/>
    <w:rsid w:val="273D1CC9"/>
    <w:rsid w:val="27946588"/>
    <w:rsid w:val="2BD75617"/>
    <w:rsid w:val="2C30467F"/>
    <w:rsid w:val="2C8C0752"/>
    <w:rsid w:val="2C9D7B5F"/>
    <w:rsid w:val="3074325E"/>
    <w:rsid w:val="31432DB0"/>
    <w:rsid w:val="32133746"/>
    <w:rsid w:val="33BD6696"/>
    <w:rsid w:val="34E11C4B"/>
    <w:rsid w:val="34E7760E"/>
    <w:rsid w:val="3945738D"/>
    <w:rsid w:val="4101504F"/>
    <w:rsid w:val="411C078A"/>
    <w:rsid w:val="429475A9"/>
    <w:rsid w:val="43CE1E09"/>
    <w:rsid w:val="43E72FE8"/>
    <w:rsid w:val="44AD7C72"/>
    <w:rsid w:val="46767298"/>
    <w:rsid w:val="49592F53"/>
    <w:rsid w:val="4A561D26"/>
    <w:rsid w:val="4BCB33AD"/>
    <w:rsid w:val="4BFB0478"/>
    <w:rsid w:val="4E083BE1"/>
    <w:rsid w:val="503748EA"/>
    <w:rsid w:val="50FB5B6E"/>
    <w:rsid w:val="55BB06A4"/>
    <w:rsid w:val="57DB0063"/>
    <w:rsid w:val="5D580227"/>
    <w:rsid w:val="666C3EE4"/>
    <w:rsid w:val="68001D49"/>
    <w:rsid w:val="6B582C71"/>
    <w:rsid w:val="6ECF425F"/>
    <w:rsid w:val="6F2A53BF"/>
    <w:rsid w:val="732E558B"/>
    <w:rsid w:val="736326B1"/>
    <w:rsid w:val="74036F45"/>
    <w:rsid w:val="74D57ADF"/>
    <w:rsid w:val="75884C6C"/>
    <w:rsid w:val="768B1B64"/>
    <w:rsid w:val="79B0418A"/>
    <w:rsid w:val="7A210613"/>
    <w:rsid w:val="7B156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line="413" w:lineRule="auto"/>
      <w:ind w:firstLine="560" w:firstLineChars="200"/>
      <w:outlineLvl w:val="1"/>
    </w:pPr>
    <w:rPr>
      <w:rFonts w:ascii="Arial" w:hAnsi="Arial" w:eastAsia="黑体"/>
      <w:b/>
      <w:sz w:val="32"/>
    </w:rPr>
  </w:style>
  <w:style w:type="paragraph" w:styleId="5">
    <w:name w:val="heading 3"/>
    <w:next w:val="1"/>
    <w:link w:val="24"/>
    <w:qFormat/>
    <w:uiPriority w:val="0"/>
    <w:pPr>
      <w:keepNext/>
      <w:keepLines/>
      <w:widowControl w:val="0"/>
      <w:spacing w:line="413" w:lineRule="auto"/>
      <w:jc w:val="both"/>
      <w:outlineLvl w:val="2"/>
    </w:pPr>
    <w:rPr>
      <w:rFonts w:ascii="Calibri" w:hAnsi="Calibri" w:eastAsia="仿宋" w:cs="Times New Roman"/>
      <w:b/>
      <w:kern w:val="2"/>
      <w:sz w:val="28"/>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6">
    <w:name w:val="annotation text"/>
    <w:basedOn w:val="1"/>
    <w:link w:val="29"/>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Title"/>
    <w:basedOn w:val="1"/>
    <w:next w:val="1"/>
    <w:link w:val="23"/>
    <w:qFormat/>
    <w:uiPriority w:val="10"/>
    <w:pPr>
      <w:spacing w:before="240" w:after="60" w:line="276" w:lineRule="auto"/>
      <w:jc w:val="center"/>
      <w:outlineLvl w:val="0"/>
    </w:pPr>
    <w:rPr>
      <w:rFonts w:eastAsia="宋体" w:asciiTheme="majorHAnsi" w:hAnsiTheme="majorHAnsi" w:cstheme="majorBidi"/>
      <w:b/>
      <w:bCs/>
      <w:sz w:val="32"/>
      <w:szCs w:val="32"/>
    </w:rPr>
  </w:style>
  <w:style w:type="paragraph" w:styleId="14">
    <w:name w:val="annotation subject"/>
    <w:basedOn w:val="6"/>
    <w:next w:val="6"/>
    <w:link w:val="30"/>
    <w:semiHidden/>
    <w:unhideWhenUsed/>
    <w:qFormat/>
    <w:uiPriority w:val="99"/>
    <w:rPr>
      <w:b/>
      <w:bCs/>
    </w:rPr>
  </w:style>
  <w:style w:type="table" w:styleId="16">
    <w:name w:val="Table Grid"/>
    <w:basedOn w:val="15"/>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uiPriority w:val="99"/>
    <w:rPr>
      <w:color w:val="0563C1" w:themeColor="hyperlink"/>
      <w:u w:val="single"/>
    </w:rPr>
  </w:style>
  <w:style w:type="character" w:styleId="20">
    <w:name w:val="annotation reference"/>
    <w:basedOn w:val="17"/>
    <w:semiHidden/>
    <w:unhideWhenUsed/>
    <w:qFormat/>
    <w:uiPriority w:val="99"/>
    <w:rPr>
      <w:sz w:val="21"/>
      <w:szCs w:val="21"/>
    </w:rPr>
  </w:style>
  <w:style w:type="character" w:customStyle="1" w:styleId="21">
    <w:name w:val="正文文本 Char"/>
    <w:basedOn w:val="17"/>
    <w:link w:val="2"/>
    <w:qFormat/>
    <w:uiPriority w:val="99"/>
    <w:rPr>
      <w:szCs w:val="24"/>
    </w:rPr>
  </w:style>
  <w:style w:type="character" w:customStyle="1" w:styleId="22">
    <w:name w:val="标题 2 Char"/>
    <w:basedOn w:val="17"/>
    <w:link w:val="4"/>
    <w:qFormat/>
    <w:uiPriority w:val="9"/>
    <w:rPr>
      <w:rFonts w:ascii="Arial" w:hAnsi="Arial" w:eastAsia="黑体"/>
      <w:b/>
      <w:sz w:val="32"/>
      <w:szCs w:val="24"/>
    </w:rPr>
  </w:style>
  <w:style w:type="character" w:customStyle="1" w:styleId="23">
    <w:name w:val="标题 Char"/>
    <w:basedOn w:val="17"/>
    <w:link w:val="13"/>
    <w:qFormat/>
    <w:uiPriority w:val="10"/>
    <w:rPr>
      <w:rFonts w:eastAsia="宋体" w:asciiTheme="majorHAnsi" w:hAnsiTheme="majorHAnsi" w:cstheme="majorBidi"/>
      <w:b/>
      <w:bCs/>
      <w:sz w:val="32"/>
      <w:szCs w:val="32"/>
    </w:rPr>
  </w:style>
  <w:style w:type="character" w:customStyle="1" w:styleId="24">
    <w:name w:val="标题 3 Char"/>
    <w:basedOn w:val="17"/>
    <w:link w:val="5"/>
    <w:qFormat/>
    <w:uiPriority w:val="0"/>
    <w:rPr>
      <w:rFonts w:ascii="Calibri" w:hAnsi="Calibri" w:eastAsia="仿宋" w:cs="Times New Roman"/>
      <w:b/>
      <w:sz w:val="28"/>
      <w:szCs w:val="24"/>
    </w:rPr>
  </w:style>
  <w:style w:type="character" w:customStyle="1" w:styleId="25">
    <w:name w:val="批注框文本 Char"/>
    <w:basedOn w:val="17"/>
    <w:link w:val="8"/>
    <w:semiHidden/>
    <w:qFormat/>
    <w:uiPriority w:val="99"/>
    <w:rPr>
      <w:sz w:val="18"/>
      <w:szCs w:val="18"/>
    </w:rPr>
  </w:style>
  <w:style w:type="character" w:customStyle="1" w:styleId="26">
    <w:name w:val="页眉 Char"/>
    <w:basedOn w:val="17"/>
    <w:link w:val="10"/>
    <w:qFormat/>
    <w:uiPriority w:val="99"/>
    <w:rPr>
      <w:sz w:val="18"/>
      <w:szCs w:val="18"/>
    </w:rPr>
  </w:style>
  <w:style w:type="character" w:customStyle="1" w:styleId="27">
    <w:name w:val="页脚 Char"/>
    <w:basedOn w:val="17"/>
    <w:link w:val="9"/>
    <w:qFormat/>
    <w:uiPriority w:val="99"/>
    <w:rPr>
      <w:sz w:val="18"/>
      <w:szCs w:val="18"/>
    </w:rPr>
  </w:style>
  <w:style w:type="paragraph" w:customStyle="1" w:styleId="28">
    <w:name w:val="Heading #1|1"/>
    <w:basedOn w:val="1"/>
    <w:qFormat/>
    <w:uiPriority w:val="0"/>
    <w:pPr>
      <w:spacing w:line="542" w:lineRule="exact"/>
      <w:ind w:firstLine="610" w:firstLineChars="200"/>
      <w:jc w:val="left"/>
      <w:outlineLvl w:val="0"/>
    </w:pPr>
    <w:rPr>
      <w:rFonts w:ascii="宋体" w:hAnsi="宋体" w:eastAsia="宋体" w:cs="宋体"/>
      <w:sz w:val="30"/>
      <w:szCs w:val="30"/>
      <w:lang w:val="zh-TW" w:eastAsia="zh-TW" w:bidi="zh-TW"/>
    </w:rPr>
  </w:style>
  <w:style w:type="character" w:customStyle="1" w:styleId="29">
    <w:name w:val="批注文字 Char"/>
    <w:basedOn w:val="17"/>
    <w:link w:val="6"/>
    <w:semiHidden/>
    <w:qFormat/>
    <w:uiPriority w:val="99"/>
    <w:rPr>
      <w:szCs w:val="24"/>
    </w:rPr>
  </w:style>
  <w:style w:type="character" w:customStyle="1" w:styleId="30">
    <w:name w:val="批注主题 Char"/>
    <w:basedOn w:val="29"/>
    <w:link w:val="14"/>
    <w:semiHidden/>
    <w:qFormat/>
    <w:uiPriority w:val="99"/>
    <w:rPr>
      <w:b/>
      <w:bCs/>
      <w:szCs w:val="24"/>
    </w:rPr>
  </w:style>
  <w:style w:type="character" w:customStyle="1" w:styleId="31">
    <w:name w:val="标题 1 Char"/>
    <w:basedOn w:val="17"/>
    <w:link w:val="3"/>
    <w:qFormat/>
    <w:uiPriority w:val="9"/>
    <w:rPr>
      <w:b/>
      <w:bCs/>
      <w:kern w:val="44"/>
      <w:sz w:val="44"/>
      <w:szCs w:val="44"/>
    </w:rPr>
  </w:style>
  <w:style w:type="paragraph" w:customStyle="1" w:styleId="3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8BDC8-BCF9-42E8-916B-933905E9CCE5}">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27</Pages>
  <Words>2363</Words>
  <Characters>13472</Characters>
  <Lines>112</Lines>
  <Paragraphs>31</Paragraphs>
  <TotalTime>0</TotalTime>
  <ScaleCrop>false</ScaleCrop>
  <LinksUpToDate>false</LinksUpToDate>
  <CharactersWithSpaces>15804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2020-10-20T00:35:00Z</dcterms:created>
  <dc:creator>E V</dc:creator>
  <cp:lastModifiedBy>Administrator</cp:lastModifiedBy>
  <dcterms:modified xsi:type="dcterms:W3CDTF">2021-11-15T08:20:49Z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