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60" w:lineRule="exact"/>
        <w:ind w:left="0" w:leftChars="0" w:right="0" w:rightChars="0" w:firstLine="0" w:firstLineChars="0"/>
        <w:jc w:val="distribute"/>
        <w:textAlignment w:val="auto"/>
        <w:outlineLvl w:val="1"/>
        <w:rPr>
          <w:rFonts w:hint="eastAsia" w:ascii="宋体" w:hAnsi="宋体" w:eastAsia="宋体" w:cs="宋体"/>
          <w:color w:val="FF0000"/>
          <w:sz w:val="112"/>
          <w:szCs w:val="11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FF0000"/>
          <w:sz w:val="112"/>
          <w:szCs w:val="112"/>
          <w:lang w:val="en-US" w:eastAsia="zh-CN"/>
        </w:rPr>
        <w:t>广东省农业厅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粤农办〔2016〕236号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FF0000"/>
          <w:sz w:val="100"/>
          <w:szCs w:val="10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220980</wp:posOffset>
                </wp:positionV>
                <wp:extent cx="5610860" cy="889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0860" cy="889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1.3pt;margin-top:17.4pt;height:0.7pt;width:441.8pt;z-index:251660288;mso-width-relative:page;mso-height-relative:page;" filled="f" stroked="t" coordsize="21600,21600" o:gfxdata="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HEpjPWAAAABwEAAA8AAAAAAAAAAQAgAAAAIgAAAGRy&#10;cy9kb3ducmV2LnhtbFBLAQIUABQAAAAIAIdO4kAezZUZzgEAAJkDAAAOAAAAAAAAAAEAIAAAACUB&#10;AABkcnMvZTJvRG9jLnhtbFBLBQYAAAAABgAGAFkBAABl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FF0000"/>
          <w:sz w:val="100"/>
          <w:szCs w:val="10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333333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333333"/>
          <w:sz w:val="44"/>
          <w:szCs w:val="44"/>
        </w:rPr>
        <w:t>关于切实抓好早稻中后期重大病虫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333333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333333"/>
          <w:sz w:val="44"/>
          <w:szCs w:val="44"/>
        </w:rPr>
        <w:t>防控工作的通知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各地级以上市农业局，顺德区农业局：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今年4月下旬以来，受大范围连续降雨等气候因素综合影响，我省早稻稻飞虱、稻纵卷叶螟、稻瘟病、纹枯病等重大病虫发生早、范围广、危害严重，其中以白背飞虱、稻叶瘟发生较为突出。据各地监测调查，稻飞虱田间虫量上升快、密度大，发生程度重于去年同期；稻叶瘟在部分地区感病品种上发生较重，严重田块病叶率高达40%-50%以上；纹枯病已转入垂直扩展阶段，严重田块病丛率达30%-50%。当前，我省水稻正值拔节至孕穗期，田间荫蔽，营养条件和田间小气候有利于多种病虫害发生，随着气温逐渐升高，极易引起“两迁”害虫、稻瘟病、纹枯病暴发流行。预测全省早稻中后期病虫总体偏重发生，局部重发生，防控形势十分严峻。为切实抓好早稻中后期重大病虫害防控工作，保障粮食生产安全，现将有关事项通知如下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一、加强组织领导，落实防控工作责任。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各地要高度重视水稻重大病虫防控工作，坚持“政府主导、属地管理、联防联控”的工作机制，增强防控意识，加强组织领导，落实责任到人，迅速行动，将病虫防控的各项措施落到实处，确保早造粮食生产安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二、加强监测预警，发布病虫动态信息。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各级农业植保部门要克服麻痹思想，加强病虫实时监测，深入开展田间调查，准确掌握重大病虫发生动态，及时发布预警预报信息，为指导水稻病虫害防治提供科学依据。利用电视预报、手机短信、农信通、农技宝等新型传播媒介发布病虫信息，确保病虫信息进村入户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三、强化分类指导，落实防控技术措施。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各地要结合病虫发生实际，抓紧制定防控对策，加强分类指导，落实科学防控措施。坚持“早破口早施药、迟破口迟施药”的原则，突出抓好早稻中后期稻飞虱、稻纵卷叶螟、二（三）化螟、稻瘟病、纹枯病的防治。对稻飞虱、稻纵卷叶螟重点抓好低龄若虫（幼虫）高峰期的施药防治；预防穗颈瘟，则要重点抓好破口期和齐穗期的施药防治；后期要重点抓好褐飞虱、稻曲病等病虫的兼治挑治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四、推进统防统治，提升应急防控水平。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各地要加强宣传引导和组织发动，大力推进水稻病虫专业化统防统治工作，充分利用中央财政水稻病虫统防统治专项资金，积极争取当地财政扶持资金，重点支持具有一定规模、管理规范和市场化运作的专业化统防统治示范组织，扩大水稻病虫害专业化统防统治服务面积，提高水稻重大病虫应急防控水平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五、加强督导检查，确保防控工作成效。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各级农业部门要加强早稻中后期病虫防控工作的督导检查，组织技术干部深入生产第一线，指导专业化防治组织、种植大户和农民适时开展病虫防治，特别是对漏治或防治效果差的田块要及时采取补救措施，最大限度地降低水稻病虫害危害损失，确保重大病虫防控工作成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广东省农业厅办公室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2016年5月30日</w:t>
      </w:r>
    </w:p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333CB"/>
    <w:rsid w:val="24D939EC"/>
    <w:rsid w:val="2B26742E"/>
    <w:rsid w:val="35F27087"/>
    <w:rsid w:val="4DA07D55"/>
    <w:rsid w:val="54247F1F"/>
    <w:rsid w:val="701D2AF4"/>
    <w:rsid w:val="708333CB"/>
    <w:rsid w:val="79F606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Arial" w:hAnsi="Arial" w:eastAsia="微软雅黑" w:cs="Arial"/>
      <w:b/>
      <w:color w:val="333333"/>
      <w:kern w:val="0"/>
      <w:sz w:val="18"/>
      <w:szCs w:val="1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Arial" w:hAnsi="Arial" w:eastAsia="微软雅黑" w:cs="Arial"/>
      <w:color w:val="333333"/>
      <w:kern w:val="0"/>
      <w:sz w:val="18"/>
      <w:szCs w:val="18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rFonts w:hint="default" w:ascii="Arial" w:hAnsi="Arial" w:eastAsia="微软雅黑" w:cs="Arial"/>
      <w:color w:val="333333"/>
      <w:sz w:val="18"/>
      <w:szCs w:val="18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rFonts w:hint="default" w:ascii="Arial" w:hAnsi="Arial" w:eastAsia="微软雅黑" w:cs="Arial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2016-06-02T01:23:00Z</dcterms:created>
  <dc:creator>Administrator</dc:creator>
  <cp:lastModifiedBy>Admin3</cp:lastModifiedBy>
  <dcterms:modified xsi:type="dcterms:W3CDTF">2016-06-02T02:41:46Z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