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keepLines/>
        <w:widowControl w:val="0"/>
        <w:shd w:val="clear" w:color="auto" w:fill="auto"/>
        <w:bidi w:val="0"/>
        <w:spacing w:before="0" w:after="60" w:line="792" w:lineRule="exact"/>
        <w:ind w:left="0" w:right="0" w:firstLine="0"/>
        <w:jc w:val="center"/>
        <w:rPr>
          <w:color w:val="000000"/>
          <w:spacing w:val="0"/>
          <w:w w:val="100"/>
          <w:position w:val="0"/>
        </w:rPr>
      </w:pPr>
      <w:bookmarkStart w:id="0" w:name="bookmark25"/>
      <w:bookmarkStart w:id="1" w:name="bookmark23"/>
      <w:bookmarkStart w:id="2" w:name="bookmark24"/>
    </w:p>
    <w:p>
      <w:pPr>
        <w:pStyle w:val="15"/>
        <w:keepNext/>
        <w:keepLines/>
        <w:widowControl w:val="0"/>
        <w:shd w:val="clear" w:color="auto" w:fill="auto"/>
        <w:bidi w:val="0"/>
        <w:spacing w:before="0" w:after="60" w:line="792" w:lineRule="exact"/>
        <w:ind w:left="0" w:right="0" w:firstLine="0"/>
        <w:jc w:val="center"/>
        <w:rPr>
          <w:color w:val="000000"/>
          <w:spacing w:val="0"/>
          <w:w w:val="100"/>
          <w:position w:val="0"/>
        </w:rPr>
      </w:pPr>
    </w:p>
    <w:p>
      <w:pPr>
        <w:pStyle w:val="15"/>
        <w:keepNext/>
        <w:keepLines/>
        <w:widowControl w:val="0"/>
        <w:shd w:val="clear" w:color="auto" w:fill="auto"/>
        <w:bidi w:val="0"/>
        <w:spacing w:before="0" w:after="60" w:line="792" w:lineRule="exact"/>
        <w:ind w:left="0" w:right="0" w:firstLine="0"/>
        <w:jc w:val="center"/>
        <w:rPr>
          <w:color w:val="000000"/>
          <w:spacing w:val="0"/>
          <w:w w:val="100"/>
          <w:position w:val="0"/>
        </w:rPr>
      </w:pPr>
      <w:r>
        <w:rPr>
          <w:color w:val="000000"/>
          <w:spacing w:val="0"/>
          <w:w w:val="100"/>
          <w:position w:val="0"/>
        </w:rPr>
        <w:t>开平市</w:t>
      </w:r>
      <w:r>
        <w:rPr>
          <w:rFonts w:hint="eastAsia"/>
          <w:color w:val="000000"/>
          <w:spacing w:val="0"/>
          <w:w w:val="100"/>
          <w:position w:val="0"/>
          <w:lang w:eastAsia="zh-CN"/>
        </w:rPr>
        <w:t>城市管理和综合执法局</w:t>
      </w:r>
      <w:r>
        <w:rPr>
          <w:rFonts w:hint="eastAsia"/>
          <w:color w:val="000000"/>
          <w:spacing w:val="0"/>
          <w:w w:val="100"/>
          <w:position w:val="0"/>
          <w:lang w:val="en-US" w:eastAsia="zh-CN"/>
        </w:rPr>
        <w:t>2020</w:t>
      </w:r>
      <w:r>
        <w:rPr>
          <w:color w:val="000000"/>
          <w:spacing w:val="0"/>
          <w:w w:val="100"/>
          <w:position w:val="0"/>
        </w:rPr>
        <w:t>年度行政许可实施和监督管理情况报告</w:t>
      </w:r>
      <w:bookmarkEnd w:id="0"/>
      <w:bookmarkEnd w:id="1"/>
      <w:bookmarkEnd w:id="2"/>
    </w:p>
    <w:p>
      <w:pPr>
        <w:pStyle w:val="15"/>
        <w:keepNext/>
        <w:keepLines/>
        <w:widowControl w:val="0"/>
        <w:shd w:val="clear" w:color="auto" w:fill="auto"/>
        <w:bidi w:val="0"/>
        <w:spacing w:before="0" w:after="60" w:line="792" w:lineRule="exact"/>
        <w:ind w:left="0" w:right="0" w:firstLine="0"/>
        <w:jc w:val="center"/>
        <w:rPr>
          <w:color w:val="000000"/>
          <w:spacing w:val="0"/>
          <w:w w:val="100"/>
          <w:position w:val="0"/>
        </w:rPr>
      </w:pPr>
    </w:p>
    <w:p>
      <w:pPr>
        <w:pStyle w:val="13"/>
        <w:keepNext w:val="0"/>
        <w:keepLines w:val="0"/>
        <w:widowControl w:val="0"/>
        <w:shd w:val="clear" w:color="auto" w:fill="auto"/>
        <w:bidi w:val="0"/>
        <w:spacing w:before="0" w:after="0" w:line="583" w:lineRule="exact"/>
        <w:ind w:left="0" w:right="0" w:firstLine="640"/>
        <w:jc w:val="both"/>
        <w:rPr>
          <w:rFonts w:hint="eastAsia" w:ascii="仿宋_GB2312" w:hAnsi="Times New Roman" w:eastAsia="仿宋_GB2312" w:cs="Times New Roman"/>
          <w:b w:val="0"/>
          <w:bCs w:val="0"/>
          <w:i w:val="0"/>
          <w:iCs w:val="0"/>
          <w:smallCaps w:val="0"/>
          <w:strike w:val="0"/>
          <w:color w:val="000000"/>
          <w:spacing w:val="0"/>
          <w:w w:val="100"/>
          <w:position w:val="0"/>
          <w:sz w:val="32"/>
          <w:szCs w:val="32"/>
          <w:u w:val="none"/>
          <w:shd w:val="clear" w:color="auto" w:fill="auto"/>
          <w:lang w:val="en-US" w:eastAsia="en-US" w:bidi="en-US"/>
        </w:rPr>
      </w:pPr>
      <w:r>
        <w:rPr>
          <w:rFonts w:hint="eastAsia" w:ascii="仿宋_GB2312" w:hAnsi="Times New Roman" w:eastAsia="仿宋_GB2312" w:cs="Times New Roman"/>
          <w:b w:val="0"/>
          <w:bCs w:val="0"/>
          <w:i w:val="0"/>
          <w:iCs w:val="0"/>
          <w:smallCaps w:val="0"/>
          <w:strike w:val="0"/>
          <w:color w:val="000000"/>
          <w:spacing w:val="0"/>
          <w:w w:val="100"/>
          <w:position w:val="0"/>
          <w:sz w:val="32"/>
          <w:szCs w:val="32"/>
          <w:u w:val="none"/>
          <w:shd w:val="clear" w:color="auto" w:fill="auto"/>
          <w:lang w:val="en-US" w:eastAsia="en-US" w:bidi="en-US"/>
        </w:rPr>
        <w:t>根据《广东省行政许可监督管理条例》要求，现将我单位 2020年度行政许可实施和监督管理情况报告如下：</w:t>
      </w:r>
    </w:p>
    <w:p>
      <w:pPr>
        <w:pStyle w:val="13"/>
        <w:keepNext w:val="0"/>
        <w:keepLines w:val="0"/>
        <w:widowControl w:val="0"/>
        <w:numPr>
          <w:ilvl w:val="0"/>
          <w:numId w:val="0"/>
        </w:numPr>
        <w:shd w:val="clear" w:color="auto" w:fill="auto"/>
        <w:tabs>
          <w:tab w:val="left" w:pos="1601"/>
        </w:tabs>
        <w:bidi w:val="0"/>
        <w:spacing w:before="0" w:after="60" w:line="583" w:lineRule="exact"/>
        <w:ind w:left="760" w:leftChars="0" w:right="0" w:rightChars="0"/>
        <w:jc w:val="left"/>
        <w:rPr>
          <w:rFonts w:hint="eastAsia" w:ascii="仿宋" w:hAnsi="仿宋" w:eastAsia="仿宋" w:cs="仿宋"/>
          <w:b/>
          <w:bCs/>
          <w:sz w:val="32"/>
          <w:szCs w:val="32"/>
          <w:lang w:eastAsia="zh-CN"/>
        </w:rPr>
      </w:pPr>
      <w:bookmarkStart w:id="3" w:name="bookmark26"/>
      <w:r>
        <w:rPr>
          <w:rFonts w:hint="eastAsia" w:ascii="仿宋" w:hAnsi="仿宋" w:eastAsia="仿宋" w:cs="仿宋"/>
          <w:b/>
          <w:bCs/>
          <w:sz w:val="32"/>
          <w:szCs w:val="32"/>
          <w:lang w:eastAsia="zh-CN"/>
        </w:rPr>
        <w:t>一</w:t>
      </w:r>
      <w:bookmarkEnd w:id="3"/>
      <w:r>
        <w:rPr>
          <w:rFonts w:hint="eastAsia" w:ascii="仿宋" w:hAnsi="仿宋" w:eastAsia="仿宋" w:cs="仿宋"/>
          <w:b/>
          <w:bCs/>
          <w:sz w:val="32"/>
          <w:szCs w:val="32"/>
          <w:lang w:eastAsia="zh-CN"/>
        </w:rPr>
        <w:t>、基本情况</w:t>
      </w:r>
    </w:p>
    <w:p>
      <w:pPr>
        <w:pStyle w:val="13"/>
        <w:keepNext w:val="0"/>
        <w:keepLines w:val="0"/>
        <w:widowControl w:val="0"/>
        <w:numPr>
          <w:ilvl w:val="0"/>
          <w:numId w:val="0"/>
        </w:numPr>
        <w:shd w:val="clear" w:color="auto" w:fill="auto"/>
        <w:tabs>
          <w:tab w:val="left" w:pos="1601"/>
        </w:tabs>
        <w:bidi w:val="0"/>
        <w:spacing w:before="0" w:after="60" w:line="583" w:lineRule="exact"/>
        <w:ind w:left="760" w:leftChars="0" w:right="0" w:rightChars="0"/>
        <w:jc w:val="left"/>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（―）现有事项及办理情况</w:t>
      </w:r>
      <w:bookmarkStart w:id="14" w:name="_GoBack"/>
      <w:bookmarkEnd w:id="14"/>
    </w:p>
    <w:p>
      <w:pPr>
        <w:spacing w:line="560" w:lineRule="exact"/>
        <w:ind w:firstLine="640" w:firstLineChars="200"/>
        <w:rPr>
          <w:rFonts w:hint="eastAsia" w:ascii="仿宋_GB2312" w:eastAsia="仿宋_GB2312"/>
          <w:sz w:val="32"/>
          <w:szCs w:val="32"/>
        </w:rPr>
      </w:pPr>
      <w:bookmarkStart w:id="4" w:name="bookmark27"/>
      <w:bookmarkEnd w:id="4"/>
      <w:r>
        <w:rPr>
          <w:rFonts w:hint="eastAsia" w:ascii="仿宋_GB2312" w:eastAsia="仿宋_GB2312"/>
          <w:sz w:val="32"/>
          <w:szCs w:val="32"/>
        </w:rPr>
        <w:t>本单位现有行政许可事项共有以下</w:t>
      </w:r>
      <w:r>
        <w:rPr>
          <w:rFonts w:hint="eastAsia" w:ascii="仿宋_GB2312" w:eastAsia="仿宋_GB2312"/>
          <w:sz w:val="32"/>
          <w:szCs w:val="32"/>
          <w:lang w:val="en-US" w:eastAsia="zh-CN"/>
        </w:rPr>
        <w:t>29</w:t>
      </w:r>
      <w:r>
        <w:rPr>
          <w:rFonts w:hint="eastAsia" w:ascii="仿宋_GB2312" w:eastAsia="仿宋_GB2312"/>
          <w:sz w:val="32"/>
          <w:szCs w:val="32"/>
        </w:rPr>
        <w:t>项，并进驻省网上办事大厅和市行政服务中心：</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燃气经营许可证核发(首次办理）；</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燃气经营许可证核发（延续）</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燃气经营许可证核发(变更）</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燃气经营许可证核发（注销）</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占用城市绿地审批</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砍伐、迁移城市树木</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拆除城市环卫设施许可</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污水排入排水管网许可证核发（新办）</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污水排入排水管网许可证核发（变更或延续）</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在城市建筑物、设施上悬挂、张贴宣传品审批</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设置大型户外广告审批</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燃气经营者改动市政燃气设施审批</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占用、挖掘城市道路审批 | 占用、挖掘城市道路审批</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占用、挖掘城市道路审批 | 临时占用城市道路审批</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依附于城市道路建设各种管线、杆线等设施审批</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城市桥梁上架设各类市政管线审批</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特殊车辆在城市道路上行驶（包括经过城市桥梁）审批</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城市建筑垃圾准运审批</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城市建筑垃圾处置（排放）核准</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城市建筑垃圾处置（受纳）核准</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临时性建筑物、构筑物等其他设施搭建、堆放物料审批</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从事城市生活垃圾经营性清扫、收集、运输、处理服务许可变更审批</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从事城市生活垃圾经营性处理服务审批</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城市生活垃圾准运审批</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从事城市生活垃圾经营性清扫、收集、运输、处理服务许可延期审批</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从事城市生活垃圾经营性清扫、收集、运输服务审批</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从事城市生活垃圾经营性清扫、收集、运输服务许可增加服务内容审批</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迁移、移动城镇排水与污水处理设施方案审核</w:t>
      </w:r>
      <w:r>
        <w:rPr>
          <w:rFonts w:hint="eastAsia" w:ascii="仿宋_GB2312" w:eastAsia="仿宋_GB2312"/>
          <w:sz w:val="32"/>
          <w:szCs w:val="32"/>
          <w:lang w:eastAsia="zh-CN"/>
        </w:rPr>
        <w:t>；</w:t>
      </w:r>
    </w:p>
    <w:p>
      <w:pPr>
        <w:numPr>
          <w:ilvl w:val="0"/>
          <w:numId w:val="1"/>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关闭、闲置或者拆除生活垃圾处置的设施、场所核准</w:t>
      </w:r>
      <w:r>
        <w:rPr>
          <w:rFonts w:hint="eastAsia" w:ascii="仿宋_GB2312" w:eastAsia="仿宋_GB2312"/>
          <w:sz w:val="32"/>
          <w:szCs w:val="32"/>
          <w:lang w:eastAsia="zh-CN"/>
        </w:rPr>
        <w:t>；</w:t>
      </w:r>
    </w:p>
    <w:p>
      <w:pPr>
        <w:pStyle w:val="13"/>
        <w:keepNext w:val="0"/>
        <w:keepLines w:val="0"/>
        <w:widowControl w:val="0"/>
        <w:numPr>
          <w:ilvl w:val="0"/>
          <w:numId w:val="0"/>
        </w:numPr>
        <w:shd w:val="clear" w:color="auto" w:fill="auto"/>
        <w:tabs>
          <w:tab w:val="left" w:pos="1015"/>
        </w:tabs>
        <w:bidi w:val="0"/>
        <w:spacing w:before="0" w:after="0" w:line="598" w:lineRule="exact"/>
        <w:ind w:right="0" w:rightChars="0" w:firstLine="640" w:firstLineChars="200"/>
        <w:jc w:val="left"/>
      </w:pPr>
      <w:r>
        <w:rPr>
          <w:rFonts w:hint="eastAsia" w:ascii="仿宋_GB2312" w:eastAsia="仿宋_GB2312"/>
          <w:sz w:val="32"/>
          <w:szCs w:val="32"/>
        </w:rPr>
        <w:t>本单位</w:t>
      </w:r>
      <w:r>
        <w:rPr>
          <w:rFonts w:hint="eastAsia" w:ascii="仿宋_GB2312" w:eastAsia="仿宋_GB2312"/>
          <w:sz w:val="32"/>
          <w:szCs w:val="32"/>
          <w:lang w:val="en-US" w:eastAsia="zh-CN"/>
        </w:rPr>
        <w:t>2020</w:t>
      </w:r>
      <w:r>
        <w:rPr>
          <w:rFonts w:hint="eastAsia" w:ascii="仿宋_GB2312" w:eastAsia="仿宋_GB2312"/>
          <w:sz w:val="32"/>
          <w:szCs w:val="32"/>
        </w:rPr>
        <w:t>年全年行政许可的申请情况，</w:t>
      </w:r>
      <w:r>
        <w:rPr>
          <w:rFonts w:ascii="仿宋_GB2312" w:eastAsia="仿宋_GB2312"/>
          <w:sz w:val="32"/>
          <w:szCs w:val="32"/>
        </w:rPr>
        <w:t>《</w:t>
      </w:r>
      <w:r>
        <w:rPr>
          <w:rFonts w:hint="eastAsia" w:ascii="仿宋_GB2312" w:eastAsia="仿宋_GB2312"/>
          <w:sz w:val="32"/>
          <w:szCs w:val="32"/>
        </w:rPr>
        <w:t>市政设施建设类审批》申请数量为</w:t>
      </w:r>
      <w:r>
        <w:rPr>
          <w:rFonts w:hint="eastAsia" w:ascii="仿宋_GB2312" w:eastAsia="仿宋_GB2312"/>
          <w:sz w:val="32"/>
          <w:szCs w:val="32"/>
          <w:lang w:val="en-US" w:eastAsia="zh-CN"/>
        </w:rPr>
        <w:t>340</w:t>
      </w:r>
      <w:r>
        <w:rPr>
          <w:rFonts w:hint="eastAsia" w:ascii="仿宋_GB2312" w:eastAsia="仿宋_GB2312"/>
          <w:sz w:val="32"/>
          <w:szCs w:val="32"/>
        </w:rPr>
        <w:t>件；《工程建设涉及城市绿地、树木审批》申请数量为</w:t>
      </w:r>
      <w:r>
        <w:rPr>
          <w:rFonts w:hint="eastAsia" w:ascii="仿宋_GB2312" w:eastAsia="仿宋_GB2312"/>
          <w:sz w:val="32"/>
          <w:szCs w:val="32"/>
          <w:lang w:val="en-US" w:eastAsia="zh-CN"/>
        </w:rPr>
        <w:t>14</w:t>
      </w:r>
      <w:r>
        <w:rPr>
          <w:rFonts w:hint="eastAsia" w:ascii="仿宋_GB2312" w:eastAsia="仿宋_GB2312"/>
          <w:sz w:val="32"/>
          <w:szCs w:val="32"/>
        </w:rPr>
        <w:t>件；《建筑垃圾准运审批》申请数量为</w:t>
      </w:r>
      <w:r>
        <w:rPr>
          <w:rFonts w:hint="eastAsia" w:ascii="仿宋_GB2312" w:eastAsia="仿宋_GB2312"/>
          <w:sz w:val="32"/>
          <w:szCs w:val="32"/>
          <w:lang w:val="en-US" w:eastAsia="zh-CN"/>
        </w:rPr>
        <w:t>48</w:t>
      </w:r>
      <w:r>
        <w:rPr>
          <w:rFonts w:hint="eastAsia" w:ascii="仿宋_GB2312" w:eastAsia="仿宋_GB2312"/>
          <w:sz w:val="32"/>
          <w:szCs w:val="32"/>
        </w:rPr>
        <w:t>件；《从事城市生活垃圾经营性清扫、收集、运输、处理服务审批》申请数量为</w:t>
      </w:r>
      <w:r>
        <w:rPr>
          <w:rFonts w:hint="eastAsia" w:ascii="仿宋_GB2312" w:eastAsia="仿宋_GB2312"/>
          <w:sz w:val="32"/>
          <w:szCs w:val="32"/>
          <w:lang w:val="en-US" w:eastAsia="zh-CN"/>
        </w:rPr>
        <w:t>12</w:t>
      </w:r>
      <w:r>
        <w:rPr>
          <w:rFonts w:hint="eastAsia" w:ascii="仿宋_GB2312" w:eastAsia="仿宋_GB2312"/>
          <w:sz w:val="32"/>
          <w:szCs w:val="32"/>
        </w:rPr>
        <w:t>件；《设置大型户外广告及在城市建筑物、设施上悬挂、张贴宣传品审批》申请数量为</w:t>
      </w:r>
      <w:r>
        <w:rPr>
          <w:rFonts w:hint="eastAsia" w:ascii="仿宋_GB2312" w:eastAsia="仿宋_GB2312"/>
          <w:sz w:val="32"/>
          <w:szCs w:val="32"/>
          <w:lang w:val="en-US" w:eastAsia="zh-CN"/>
        </w:rPr>
        <w:t>37</w:t>
      </w:r>
      <w:r>
        <w:rPr>
          <w:rFonts w:hint="eastAsia" w:ascii="仿宋_GB2312" w:eastAsia="仿宋_GB2312"/>
          <w:sz w:val="32"/>
          <w:szCs w:val="32"/>
        </w:rPr>
        <w:t>件</w:t>
      </w:r>
      <w:r>
        <w:rPr>
          <w:rFonts w:hint="eastAsia" w:ascii="仿宋_GB2312" w:eastAsia="仿宋_GB2312"/>
          <w:sz w:val="32"/>
          <w:szCs w:val="32"/>
          <w:lang w:eastAsia="zh-CN"/>
        </w:rPr>
        <w:t>；《污水排入排水管网许可证核发</w:t>
      </w:r>
      <w:r>
        <w:rPr>
          <w:rFonts w:hint="eastAsia" w:ascii="仿宋_GB2312" w:eastAsia="仿宋_GB2312"/>
          <w:sz w:val="32"/>
          <w:szCs w:val="32"/>
        </w:rPr>
        <w:t>》申请数量为</w:t>
      </w:r>
      <w:r>
        <w:rPr>
          <w:rFonts w:hint="eastAsia" w:ascii="仿宋_GB2312" w:eastAsia="仿宋_GB2312"/>
          <w:sz w:val="32"/>
          <w:szCs w:val="32"/>
          <w:lang w:val="en-US" w:eastAsia="zh-CN"/>
        </w:rPr>
        <w:t>4</w:t>
      </w:r>
      <w:r>
        <w:rPr>
          <w:rFonts w:hint="eastAsia" w:ascii="仿宋_GB2312" w:eastAsia="仿宋_GB2312"/>
          <w:sz w:val="32"/>
          <w:szCs w:val="32"/>
        </w:rPr>
        <w:t>件。全年行政许可申请数量为</w:t>
      </w:r>
      <w:r>
        <w:rPr>
          <w:rFonts w:hint="eastAsia" w:ascii="仿宋_GB2312" w:eastAsia="仿宋_GB2312"/>
          <w:sz w:val="32"/>
          <w:szCs w:val="32"/>
          <w:lang w:val="en-US" w:eastAsia="zh-CN"/>
        </w:rPr>
        <w:t>455</w:t>
      </w:r>
      <w:r>
        <w:rPr>
          <w:rFonts w:hint="eastAsia" w:ascii="仿宋_GB2312" w:eastAsia="仿宋_GB2312"/>
          <w:sz w:val="32"/>
          <w:szCs w:val="32"/>
        </w:rPr>
        <w:t>件，办结数量为</w:t>
      </w:r>
      <w:r>
        <w:rPr>
          <w:rFonts w:hint="eastAsia" w:ascii="仿宋_GB2312" w:eastAsia="仿宋_GB2312"/>
          <w:sz w:val="32"/>
          <w:szCs w:val="32"/>
          <w:lang w:val="en-US" w:eastAsia="zh-CN"/>
        </w:rPr>
        <w:t>455</w:t>
      </w:r>
      <w:r>
        <w:rPr>
          <w:rFonts w:hint="eastAsia" w:ascii="仿宋_GB2312" w:eastAsia="仿宋_GB2312"/>
          <w:sz w:val="32"/>
          <w:szCs w:val="32"/>
        </w:rPr>
        <w:t>件，未按时办结事项数量为0，全年行政许可在窗口办理所占百分比为100%。对需要修正或补充材料的申请，做到一次性告知申请人，待补齐材料或修正后，再受理申请。</w:t>
      </w:r>
    </w:p>
    <w:p>
      <w:pPr>
        <w:pStyle w:val="13"/>
        <w:keepNext w:val="0"/>
        <w:keepLines w:val="0"/>
        <w:widowControl w:val="0"/>
        <w:numPr>
          <w:ilvl w:val="0"/>
          <w:numId w:val="0"/>
        </w:numPr>
        <w:shd w:val="clear" w:color="auto" w:fill="auto"/>
        <w:tabs>
          <w:tab w:val="left" w:pos="1601"/>
        </w:tabs>
        <w:bidi w:val="0"/>
        <w:spacing w:before="0" w:after="60" w:line="583" w:lineRule="exact"/>
        <w:ind w:left="760" w:leftChars="0" w:right="0" w:rightChars="0"/>
        <w:jc w:val="left"/>
        <w:rPr>
          <w:rFonts w:hint="eastAsia" w:ascii="仿宋" w:hAnsi="仿宋" w:eastAsia="仿宋" w:cs="仿宋"/>
          <w:b/>
          <w:bCs/>
          <w:sz w:val="32"/>
          <w:szCs w:val="32"/>
          <w:lang w:eastAsia="zh-CN"/>
        </w:rPr>
      </w:pPr>
      <w:bookmarkStart w:id="5" w:name="bookmark31"/>
      <w:r>
        <w:rPr>
          <w:rFonts w:hint="eastAsia" w:ascii="仿宋" w:hAnsi="仿宋" w:eastAsia="仿宋" w:cs="仿宋"/>
          <w:b/>
          <w:bCs/>
          <w:sz w:val="32"/>
          <w:szCs w:val="32"/>
          <w:lang w:eastAsia="zh-CN"/>
        </w:rPr>
        <w:t>（</w:t>
      </w:r>
      <w:bookmarkEnd w:id="5"/>
      <w:r>
        <w:rPr>
          <w:rFonts w:hint="eastAsia" w:ascii="仿宋" w:hAnsi="仿宋" w:eastAsia="仿宋" w:cs="仿宋"/>
          <w:b/>
          <w:bCs/>
          <w:sz w:val="32"/>
          <w:szCs w:val="32"/>
          <w:lang w:eastAsia="zh-CN"/>
        </w:rPr>
        <w:t>二）依法实施情况</w:t>
      </w:r>
    </w:p>
    <w:p>
      <w:pPr>
        <w:pStyle w:val="13"/>
        <w:keepNext w:val="0"/>
        <w:keepLines w:val="0"/>
        <w:widowControl w:val="0"/>
        <w:numPr>
          <w:ilvl w:val="0"/>
          <w:numId w:val="0"/>
        </w:numPr>
        <w:shd w:val="clear" w:color="auto" w:fill="auto"/>
        <w:tabs>
          <w:tab w:val="left" w:pos="1015"/>
        </w:tabs>
        <w:bidi w:val="0"/>
        <w:spacing w:before="0" w:after="0" w:line="598" w:lineRule="exact"/>
        <w:ind w:right="0" w:rightChars="0" w:firstLine="320" w:firstLineChars="100"/>
        <w:jc w:val="left"/>
        <w:rPr>
          <w:rFonts w:hint="default" w:ascii="仿宋_GB2312" w:eastAsia="仿宋_GB2312"/>
          <w:b w:val="0"/>
          <w:bCs w:val="0"/>
          <w:i w:val="0"/>
          <w:iCs w:val="0"/>
          <w:smallCaps w:val="0"/>
          <w:strike w:val="0"/>
          <w:sz w:val="32"/>
          <w:szCs w:val="32"/>
          <w:lang w:val="en-US" w:eastAsia="zh-CN"/>
        </w:rPr>
      </w:pPr>
      <w:bookmarkStart w:id="6" w:name="bookmark32"/>
      <w:bookmarkEnd w:id="6"/>
      <w:r>
        <w:rPr>
          <w:rFonts w:hint="eastAsia" w:ascii="仿宋_GB2312" w:eastAsia="仿宋_GB2312"/>
          <w:b w:val="0"/>
          <w:bCs w:val="0"/>
          <w:i w:val="0"/>
          <w:iCs w:val="0"/>
          <w:smallCaps w:val="0"/>
          <w:strike w:val="0"/>
          <w:sz w:val="32"/>
          <w:szCs w:val="32"/>
        </w:rPr>
        <w:t>本单位严格遵守法律法规规定的审批权限、范围、程序、条件，优化审批流程和简化审批程序，通过创新行政服务方式、设置综合服务窗口，让群众“少跑一趟路、少跨一个门槛、少走一道程序”，逐步实行“互联网+政务”和审批标准化，逐步推行工作人员审批无差别、群众办事无特别；积极配合市编办及行政服务中心对行政许可配套规范性的文件进行清理、修改、完善，执行行政服务中心制定的工作方案，根据《关于做好机构改革政务服务事项梳理调整工作的通知（开政数〔2019〕19号 ）》的文件要求，进一步对本单位的相关事项许可要素、许可流程等内容进行调整，明确审批标准、规范自由裁量权;</w:t>
      </w:r>
    </w:p>
    <w:p>
      <w:pPr>
        <w:pStyle w:val="13"/>
        <w:keepNext w:val="0"/>
        <w:keepLines w:val="0"/>
        <w:widowControl w:val="0"/>
        <w:numPr>
          <w:ilvl w:val="0"/>
          <w:numId w:val="0"/>
        </w:numPr>
        <w:shd w:val="clear" w:color="auto" w:fill="auto"/>
        <w:tabs>
          <w:tab w:val="left" w:pos="1601"/>
        </w:tabs>
        <w:bidi w:val="0"/>
        <w:spacing w:before="0" w:after="60" w:line="583" w:lineRule="exact"/>
        <w:ind w:left="760" w:leftChars="0" w:right="0" w:rightChars="0"/>
        <w:jc w:val="left"/>
        <w:rPr>
          <w:rFonts w:hint="eastAsia" w:ascii="仿宋" w:hAnsi="仿宋" w:eastAsia="仿宋" w:cs="仿宋"/>
          <w:b/>
          <w:bCs/>
          <w:sz w:val="32"/>
          <w:szCs w:val="32"/>
          <w:lang w:eastAsia="zh-CN"/>
        </w:rPr>
      </w:pPr>
      <w:bookmarkStart w:id="7" w:name="bookmark35"/>
      <w:bookmarkEnd w:id="7"/>
      <w:bookmarkStart w:id="8" w:name="bookmark36"/>
      <w:r>
        <w:rPr>
          <w:rFonts w:hint="eastAsia" w:ascii="仿宋" w:hAnsi="仿宋" w:eastAsia="仿宋" w:cs="仿宋"/>
          <w:b/>
          <w:bCs/>
          <w:sz w:val="32"/>
          <w:szCs w:val="32"/>
          <w:lang w:eastAsia="zh-CN"/>
        </w:rPr>
        <w:t>（</w:t>
      </w:r>
      <w:bookmarkEnd w:id="8"/>
      <w:r>
        <w:rPr>
          <w:rFonts w:hint="eastAsia" w:ascii="仿宋" w:hAnsi="仿宋" w:eastAsia="仿宋" w:cs="仿宋"/>
          <w:b/>
          <w:bCs/>
          <w:sz w:val="32"/>
          <w:szCs w:val="32"/>
          <w:lang w:eastAsia="zh-CN"/>
        </w:rPr>
        <w:t>三）公开公示情况</w:t>
      </w:r>
    </w:p>
    <w:p>
      <w:pPr>
        <w:spacing w:line="560" w:lineRule="exact"/>
        <w:ind w:firstLine="640" w:firstLineChars="200"/>
        <w:rPr>
          <w:rFonts w:hint="eastAsia" w:ascii="仿宋_GB2312" w:eastAsia="仿宋_GB2312"/>
          <w:sz w:val="32"/>
          <w:szCs w:val="32"/>
        </w:rPr>
      </w:pPr>
      <w:bookmarkStart w:id="9" w:name="bookmark37"/>
      <w:bookmarkEnd w:id="9"/>
      <w:r>
        <w:rPr>
          <w:rFonts w:hint="eastAsia" w:ascii="仿宋_GB2312" w:eastAsia="仿宋_GB2312"/>
          <w:sz w:val="32"/>
          <w:szCs w:val="32"/>
        </w:rPr>
        <w:t>在本单位及行政服务中心印发有办事指南，办事指南里面包含有实施主体、依据、程序、条件、期限、裁量标准、申请材料及办法、收费标准、申请书格式文本、咨询投诉方式等信息的方式、范围。同时收费标准与依据也在本单位公示栏公示，网上办事大厅也设置有相关的办事指南情况，将办理结果及时反馈于申请人。在本单位公示栏和“双公示”网站公示行政许可办理结果情况，将有关公开公示信息明确、细化，向社会公开行政许可实施和结果做到公开、透明。</w:t>
      </w:r>
    </w:p>
    <w:p>
      <w:pPr>
        <w:pStyle w:val="13"/>
        <w:keepNext w:val="0"/>
        <w:keepLines w:val="0"/>
        <w:widowControl w:val="0"/>
        <w:numPr>
          <w:ilvl w:val="0"/>
          <w:numId w:val="0"/>
        </w:numPr>
        <w:shd w:val="clear" w:color="auto" w:fill="auto"/>
        <w:tabs>
          <w:tab w:val="left" w:pos="1601"/>
        </w:tabs>
        <w:bidi w:val="0"/>
        <w:spacing w:before="0" w:after="60" w:line="583" w:lineRule="exact"/>
        <w:ind w:left="760" w:leftChars="0" w:right="0" w:rightChars="0"/>
        <w:jc w:val="left"/>
        <w:rPr>
          <w:rFonts w:hint="eastAsia" w:ascii="仿宋" w:hAnsi="仿宋" w:eastAsia="仿宋" w:cs="仿宋"/>
          <w:b/>
          <w:bCs/>
          <w:sz w:val="32"/>
          <w:szCs w:val="32"/>
          <w:lang w:val="en-US" w:eastAsia="en-US"/>
        </w:rPr>
      </w:pPr>
      <w:bookmarkStart w:id="10" w:name="bookmark38"/>
      <w:bookmarkEnd w:id="10"/>
      <w:r>
        <w:rPr>
          <w:rFonts w:hint="eastAsia" w:ascii="仿宋" w:hAnsi="仿宋" w:eastAsia="仿宋" w:cs="仿宋"/>
          <w:b/>
          <w:bCs/>
          <w:sz w:val="32"/>
          <w:szCs w:val="32"/>
          <w:lang w:eastAsia="zh-CN"/>
        </w:rPr>
        <w:t>（四）</w:t>
      </w:r>
      <w:r>
        <w:rPr>
          <w:rFonts w:hint="eastAsia" w:ascii="仿宋" w:hAnsi="仿宋" w:eastAsia="仿宋" w:cs="仿宋"/>
          <w:b/>
          <w:bCs/>
          <w:sz w:val="32"/>
          <w:szCs w:val="32"/>
          <w:lang w:val="en-US" w:eastAsia="en-US"/>
        </w:rPr>
        <w:t>监督管理情况</w:t>
      </w:r>
    </w:p>
    <w:p>
      <w:pPr>
        <w:spacing w:line="560" w:lineRule="exact"/>
        <w:ind w:firstLine="640" w:firstLineChars="200"/>
        <w:rPr>
          <w:b/>
          <w:bCs/>
          <w:i w:val="0"/>
          <w:iCs w:val="0"/>
          <w:smallCaps w:val="0"/>
          <w:strike w:val="0"/>
          <w:color w:val="000000"/>
          <w:spacing w:val="0"/>
          <w:w w:val="100"/>
          <w:position w:val="0"/>
        </w:rPr>
      </w:pPr>
      <w:r>
        <w:rPr>
          <w:rFonts w:hint="eastAsia" w:ascii="仿宋_GB2312" w:eastAsia="仿宋_GB2312"/>
          <w:sz w:val="32"/>
          <w:szCs w:val="32"/>
        </w:rPr>
        <w:t>对所有行政许可业务，我局严格认真制定实施有关监管措施和标准，规定工作人员不得索取或收受礼物、好处，不得擅自增减行政许可审批环节、条件；实行“审批、监管”分离制度，分别由行政审批服务股进行审批，由执法监察股负责监督管理和查处有关违法违规情况。并设立举报投诉渠道</w:t>
      </w:r>
      <w:bookmarkStart w:id="11" w:name="_Toc390420797"/>
      <w:r>
        <w:rPr>
          <w:rFonts w:hint="eastAsia" w:ascii="仿宋_GB2312" w:eastAsia="仿宋_GB2312"/>
          <w:sz w:val="32"/>
          <w:szCs w:val="32"/>
        </w:rPr>
        <w:t>，欢迎群众监督及举报投诉</w:t>
      </w:r>
      <w:bookmarkEnd w:id="11"/>
      <w:r>
        <w:rPr>
          <w:rFonts w:hint="eastAsia" w:ascii="仿宋_GB2312" w:eastAsia="仿宋_GB2312"/>
          <w:sz w:val="32"/>
          <w:szCs w:val="32"/>
        </w:rPr>
        <w:t>（网上投诉：</w:t>
      </w:r>
      <w:r>
        <w:rPr>
          <w:rFonts w:ascii="仿宋_GB2312" w:eastAsia="仿宋_GB2312"/>
          <w:sz w:val="32"/>
          <w:szCs w:val="32"/>
        </w:rPr>
        <w:t>http://gongyong.kaiping.gov.cn/</w:t>
      </w:r>
      <w:r>
        <w:rPr>
          <w:rFonts w:hint="eastAsia" w:ascii="仿宋_GB2312" w:eastAsia="仿宋_GB2312"/>
          <w:sz w:val="32"/>
          <w:szCs w:val="32"/>
          <w:lang w:eastAsia="zh-CN"/>
        </w:rPr>
        <w:t>，</w:t>
      </w:r>
      <w:r>
        <w:rPr>
          <w:rFonts w:hint="eastAsia" w:ascii="仿宋_GB2312" w:eastAsia="仿宋_GB2312"/>
          <w:sz w:val="32"/>
          <w:szCs w:val="32"/>
        </w:rPr>
        <w:t>电话投诉：0750-2231228，投诉地址：开平市人和东路 16号3幢开平市城市综合管理局信访宣传股）。</w:t>
      </w:r>
    </w:p>
    <w:p>
      <w:pPr>
        <w:pStyle w:val="13"/>
        <w:keepNext w:val="0"/>
        <w:keepLines w:val="0"/>
        <w:widowControl w:val="0"/>
        <w:numPr>
          <w:ilvl w:val="0"/>
          <w:numId w:val="0"/>
        </w:numPr>
        <w:shd w:val="clear" w:color="auto" w:fill="auto"/>
        <w:tabs>
          <w:tab w:val="left" w:pos="1601"/>
        </w:tabs>
        <w:bidi w:val="0"/>
        <w:spacing w:before="0" w:after="60" w:line="583" w:lineRule="exact"/>
        <w:ind w:left="760" w:leftChars="0" w:right="0" w:rightChars="0"/>
        <w:jc w:val="left"/>
        <w:rPr>
          <w:rFonts w:hint="eastAsia" w:ascii="仿宋" w:hAnsi="仿宋" w:eastAsia="仿宋" w:cs="仿宋"/>
          <w:b/>
          <w:bCs/>
          <w:sz w:val="32"/>
          <w:szCs w:val="32"/>
          <w:lang w:val="en-US" w:eastAsia="en-US"/>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lang w:val="en-US" w:eastAsia="en-US"/>
        </w:rPr>
        <w:t>实施效果情况</w:t>
      </w:r>
    </w:p>
    <w:p>
      <w:pPr>
        <w:pStyle w:val="13"/>
        <w:keepNext w:val="0"/>
        <w:keepLines w:val="0"/>
        <w:widowControl w:val="0"/>
        <w:numPr>
          <w:ilvl w:val="0"/>
          <w:numId w:val="2"/>
        </w:numPr>
        <w:shd w:val="clear" w:color="auto" w:fill="auto"/>
        <w:tabs>
          <w:tab w:val="left" w:pos="1015"/>
        </w:tabs>
        <w:bidi w:val="0"/>
        <w:spacing w:before="0" w:after="0" w:line="598" w:lineRule="exact"/>
        <w:ind w:right="0" w:rightChars="0" w:firstLine="640" w:firstLineChars="200"/>
        <w:jc w:val="left"/>
        <w:rPr>
          <w:rFonts w:ascii="仿宋_GB2312" w:eastAsia="仿宋_GB2312"/>
          <w:sz w:val="32"/>
          <w:szCs w:val="32"/>
        </w:rPr>
      </w:pPr>
      <w:r>
        <w:rPr>
          <w:rFonts w:hint="eastAsia" w:ascii="仿宋_GB2312" w:eastAsia="仿宋_GB2312"/>
          <w:sz w:val="32"/>
          <w:szCs w:val="32"/>
        </w:rPr>
        <w:t>本单位20</w:t>
      </w:r>
      <w:r>
        <w:rPr>
          <w:rFonts w:hint="eastAsia" w:ascii="仿宋_GB2312" w:eastAsia="仿宋_GB2312"/>
          <w:sz w:val="32"/>
          <w:szCs w:val="32"/>
          <w:lang w:val="en-US" w:eastAsia="zh-CN"/>
        </w:rPr>
        <w:t>20</w:t>
      </w:r>
      <w:r>
        <w:rPr>
          <w:rFonts w:hint="eastAsia" w:ascii="仿宋_GB2312" w:eastAsia="仿宋_GB2312"/>
          <w:sz w:val="32"/>
          <w:szCs w:val="32"/>
        </w:rPr>
        <w:t>年的行政许可实施基本达到设立行政许可的预期效果，在通过优化和规范审批流程、方便行政许可相对人、提高审批效率等方面取得了显著成效，行政许可相对人的认可度和满意度较高。但亦存在部分审批事项未达到预期效果，例如迁移、拆除、关闭城市环卫设施许可、燃气经营者改动市政燃气设施审批，因没有个人或单位申请审批，暂未能了解是否达到预期效果。许可事项所带来的社会效益情况，其中</w:t>
      </w:r>
      <w:r>
        <w:rPr>
          <w:rFonts w:ascii="仿宋_GB2312" w:eastAsia="仿宋_GB2312"/>
          <w:sz w:val="32"/>
          <w:szCs w:val="32"/>
        </w:rPr>
        <w:t>《</w:t>
      </w:r>
      <w:r>
        <w:rPr>
          <w:rFonts w:hint="eastAsia" w:ascii="仿宋_GB2312" w:eastAsia="仿宋_GB2312"/>
          <w:sz w:val="32"/>
          <w:szCs w:val="32"/>
        </w:rPr>
        <w:t>市政设施建设类审批》事项中市政管线类开挖占</w:t>
      </w:r>
      <w:r>
        <w:rPr>
          <w:rFonts w:hint="eastAsia" w:ascii="仿宋_GB2312" w:eastAsia="仿宋_GB2312"/>
          <w:sz w:val="32"/>
          <w:szCs w:val="32"/>
          <w:lang w:val="en-US" w:eastAsia="zh-CN"/>
        </w:rPr>
        <w:t>75</w:t>
      </w:r>
      <w:r>
        <w:rPr>
          <w:rFonts w:hint="eastAsia" w:ascii="仿宋_GB2312" w:eastAsia="仿宋_GB2312"/>
          <w:sz w:val="32"/>
          <w:szCs w:val="32"/>
        </w:rPr>
        <w:t>%，包括燃气、通讯、供水、供电等市政基础设施，大大推进市政基础设施的建设，</w:t>
      </w:r>
      <w:r>
        <w:rPr>
          <w:rFonts w:ascii="仿宋_GB2312" w:eastAsia="仿宋_GB2312"/>
          <w:sz w:val="32"/>
          <w:szCs w:val="32"/>
        </w:rPr>
        <w:t>促进地方经济发展、促进社会进步。</w:t>
      </w:r>
    </w:p>
    <w:p>
      <w:pPr>
        <w:pStyle w:val="13"/>
        <w:keepNext w:val="0"/>
        <w:keepLines w:val="0"/>
        <w:widowControl w:val="0"/>
        <w:numPr>
          <w:ilvl w:val="0"/>
          <w:numId w:val="2"/>
        </w:numPr>
        <w:shd w:val="clear" w:color="auto" w:fill="auto"/>
        <w:tabs>
          <w:tab w:val="left" w:pos="1015"/>
        </w:tabs>
        <w:bidi w:val="0"/>
        <w:spacing w:before="0" w:after="0" w:line="598" w:lineRule="exact"/>
        <w:ind w:right="0" w:rightChars="0" w:firstLine="640" w:firstLineChars="200"/>
        <w:jc w:val="left"/>
        <w:rPr>
          <w:rFonts w:hint="default" w:ascii="仿宋_GB2312" w:eastAsia="仿宋_GB2312"/>
          <w:b w:val="0"/>
          <w:bCs w:val="0"/>
          <w:i w:val="0"/>
          <w:iCs w:val="0"/>
          <w:smallCaps w:val="0"/>
          <w:strike w:val="0"/>
          <w:sz w:val="32"/>
          <w:szCs w:val="32"/>
          <w:lang w:val="en-US" w:eastAsia="zh-CN"/>
        </w:rPr>
      </w:pPr>
      <w:r>
        <w:rPr>
          <w:rFonts w:hint="eastAsia" w:ascii="仿宋_GB2312" w:eastAsia="仿宋_GB2312"/>
          <w:b w:val="0"/>
          <w:bCs w:val="0"/>
          <w:i w:val="0"/>
          <w:iCs w:val="0"/>
          <w:smallCaps w:val="0"/>
          <w:strike w:val="0"/>
          <w:sz w:val="32"/>
          <w:szCs w:val="32"/>
          <w:lang w:val="en-US" w:eastAsia="zh-CN"/>
        </w:rPr>
        <w:t xml:space="preserve"> 2020年城市综合管理局进一步完善《开平市城市综合管理局网上行政审批系统》的运行，根据《</w:t>
      </w:r>
      <w:r>
        <w:rPr>
          <w:rFonts w:hint="eastAsia" w:ascii="仿宋_GB2312" w:eastAsia="仿宋_GB2312"/>
          <w:b w:val="0"/>
          <w:bCs w:val="0"/>
          <w:i w:val="0"/>
          <w:iCs w:val="0"/>
          <w:smallCaps w:val="0"/>
          <w:strike w:val="0"/>
          <w:sz w:val="32"/>
          <w:szCs w:val="32"/>
        </w:rPr>
        <w:t>关于做好机构改革政务服务事项梳理调整工作的通知（开政数〔2019〕19号 ）</w:t>
      </w:r>
      <w:r>
        <w:rPr>
          <w:rFonts w:hint="eastAsia" w:ascii="仿宋_GB2312" w:eastAsia="仿宋_GB2312"/>
          <w:b w:val="0"/>
          <w:bCs w:val="0"/>
          <w:i w:val="0"/>
          <w:iCs w:val="0"/>
          <w:smallCaps w:val="0"/>
          <w:strike w:val="0"/>
          <w:sz w:val="32"/>
          <w:szCs w:val="32"/>
          <w:lang w:val="en-US" w:eastAsia="zh-CN"/>
        </w:rPr>
        <w:t>》，及时更新调整网上办事大厅事项办事指南等，加强网络审批系统的跟踪督办，确保办理及时准确。进一步完善项目审批的程序、资料要求等工作制度，配合行政服务中心完善重点建设项目网上并联审批制和绿色通道服务制度。</w:t>
      </w:r>
    </w:p>
    <w:p>
      <w:pPr>
        <w:pStyle w:val="13"/>
        <w:keepNext w:val="0"/>
        <w:keepLines w:val="0"/>
        <w:widowControl w:val="0"/>
        <w:numPr>
          <w:ilvl w:val="0"/>
          <w:numId w:val="3"/>
        </w:numPr>
        <w:shd w:val="clear" w:color="auto" w:fill="auto"/>
        <w:bidi w:val="0"/>
        <w:spacing w:before="0" w:after="0" w:line="605" w:lineRule="exact"/>
        <w:ind w:left="0" w:leftChars="0" w:right="0" w:firstLine="640" w:firstLineChars="200"/>
        <w:jc w:val="both"/>
        <w:rPr>
          <w:rFonts w:hint="eastAsia" w:ascii="黑体" w:eastAsia="黑体"/>
          <w:sz w:val="32"/>
          <w:szCs w:val="32"/>
        </w:rPr>
      </w:pPr>
      <w:bookmarkStart w:id="12" w:name="bookmark46"/>
      <w:bookmarkEnd w:id="12"/>
      <w:r>
        <w:rPr>
          <w:rFonts w:hint="eastAsia" w:ascii="黑体" w:eastAsia="黑体"/>
          <w:sz w:val="32"/>
          <w:szCs w:val="32"/>
        </w:rPr>
        <w:t>存在问题和困难</w:t>
      </w:r>
    </w:p>
    <w:p>
      <w:pPr>
        <w:pStyle w:val="13"/>
        <w:keepNext w:val="0"/>
        <w:keepLines w:val="0"/>
        <w:widowControl w:val="0"/>
        <w:numPr>
          <w:ilvl w:val="0"/>
          <w:numId w:val="0"/>
        </w:numPr>
        <w:shd w:val="clear" w:color="auto" w:fill="auto"/>
        <w:bidi w:val="0"/>
        <w:spacing w:before="0" w:after="0" w:line="605" w:lineRule="exact"/>
        <w:ind w:right="0" w:rightChars="0" w:firstLine="640" w:firstLineChars="200"/>
        <w:jc w:val="both"/>
      </w:pPr>
      <w:r>
        <w:rPr>
          <w:rFonts w:hint="eastAsia" w:ascii="仿宋_GB2312" w:eastAsia="仿宋_GB2312"/>
          <w:sz w:val="32"/>
          <w:szCs w:val="32"/>
        </w:rPr>
        <w:t>存在问题和困难，部分行政许可事项涉及的专业性较强，例如市政设施建设类审批等事项涉及各专业管道的埋设安全距离、走向等，需要多个专业的人员到现场勘察并且要综合各方的意见，以致审批时间有所增加，审批流程较其他事项难以优化。另有部分行政许可事项本</w:t>
      </w:r>
      <w:r>
        <w:rPr>
          <w:rFonts w:hint="eastAsia" w:ascii="仿宋_GB2312" w:eastAsia="仿宋_GB2312"/>
          <w:sz w:val="32"/>
          <w:szCs w:val="32"/>
          <w:lang w:eastAsia="zh-CN"/>
        </w:rPr>
        <w:t>年没有审批项目</w:t>
      </w:r>
      <w:r>
        <w:rPr>
          <w:rFonts w:hint="eastAsia" w:ascii="仿宋_GB2312" w:eastAsia="仿宋_GB2312"/>
          <w:sz w:val="32"/>
          <w:szCs w:val="32"/>
        </w:rPr>
        <w:t>，例如关闭、闲置或者拆除生活垃圾处置的设施、场所核准，</w:t>
      </w:r>
      <w:r>
        <w:rPr>
          <w:rFonts w:hint="eastAsia" w:ascii="仿宋_GB2312" w:eastAsia="仿宋_GB2312"/>
          <w:sz w:val="32"/>
          <w:szCs w:val="32"/>
          <w:lang w:eastAsia="zh-CN"/>
        </w:rPr>
        <w:t>审批经验较少，</w:t>
      </w:r>
      <w:r>
        <w:rPr>
          <w:rFonts w:hint="eastAsia" w:ascii="仿宋_GB2312" w:eastAsia="仿宋_GB2312"/>
          <w:sz w:val="32"/>
          <w:szCs w:val="32"/>
        </w:rPr>
        <w:t>因此审批流程、裁量标准较难优化，未知预期效果如何。</w:t>
      </w:r>
    </w:p>
    <w:p>
      <w:pPr>
        <w:spacing w:line="560" w:lineRule="exact"/>
        <w:ind w:firstLine="640" w:firstLineChars="200"/>
        <w:rPr>
          <w:rFonts w:hint="eastAsia" w:ascii="黑体" w:hAnsi="宋体" w:eastAsia="黑体" w:cs="宋体"/>
          <w:b w:val="0"/>
          <w:bCs w:val="0"/>
          <w:i w:val="0"/>
          <w:iCs w:val="0"/>
          <w:smallCaps w:val="0"/>
          <w:strike w:val="0"/>
          <w:color w:val="000000"/>
          <w:spacing w:val="0"/>
          <w:w w:val="100"/>
          <w:position w:val="0"/>
          <w:sz w:val="32"/>
          <w:szCs w:val="32"/>
          <w:u w:val="none"/>
          <w:shd w:val="clear" w:color="auto" w:fill="auto"/>
          <w:lang w:val="zh-TW" w:eastAsia="zh-TW" w:bidi="zh-TW"/>
        </w:rPr>
      </w:pPr>
      <w:r>
        <w:rPr>
          <w:rFonts w:hint="eastAsia" w:ascii="黑体" w:hAnsi="宋体" w:eastAsia="黑体" w:cs="宋体"/>
          <w:b w:val="0"/>
          <w:bCs w:val="0"/>
          <w:i w:val="0"/>
          <w:iCs w:val="0"/>
          <w:smallCaps w:val="0"/>
          <w:strike w:val="0"/>
          <w:color w:val="000000"/>
          <w:spacing w:val="0"/>
          <w:w w:val="100"/>
          <w:position w:val="0"/>
          <w:sz w:val="32"/>
          <w:szCs w:val="32"/>
          <w:u w:val="none"/>
          <w:shd w:val="clear" w:color="auto" w:fill="auto"/>
          <w:lang w:val="zh-TW" w:eastAsia="zh-TW" w:bidi="zh-TW"/>
        </w:rPr>
        <w:t>三、下一步工作措施及有关建议</w:t>
      </w:r>
    </w:p>
    <w:p>
      <w:pPr>
        <w:spacing w:after="282" w:afterLines="78" w:afterAutospacing="0" w:line="560" w:lineRule="exact"/>
        <w:ind w:firstLine="640" w:firstLineChars="200"/>
        <w:rPr>
          <w:rFonts w:ascii="仿宋_GB2312" w:eastAsia="仿宋_GB2312"/>
          <w:sz w:val="32"/>
          <w:szCs w:val="32"/>
        </w:rPr>
      </w:pPr>
      <w:r>
        <w:rPr>
          <w:rFonts w:hint="eastAsia" w:ascii="仿宋_GB2312" w:eastAsia="仿宋_GB2312"/>
          <w:sz w:val="32"/>
          <w:szCs w:val="32"/>
        </w:rPr>
        <w:t>为提高我局各项行政许可项目的审批效率和审批的科学性，建议组织相关工作人员到先进城市的城市综合管理部门学习交流审批经验，结合自身的实际情况，优化和规范审批流程，方便行政许可相对人、提高审批效率。</w:t>
      </w:r>
    </w:p>
    <w:p>
      <w:pPr>
        <w:pStyle w:val="19"/>
        <w:keepNext w:val="0"/>
        <w:keepLines w:val="0"/>
        <w:widowControl w:val="0"/>
        <w:shd w:val="clear" w:color="auto" w:fill="auto"/>
        <w:bidi w:val="0"/>
        <w:spacing w:before="0" w:beforeAutospacing="0" w:after="0" w:line="240" w:lineRule="auto"/>
        <w:ind w:left="0" w:right="0" w:firstLine="0"/>
        <w:jc w:val="right"/>
        <w:rPr>
          <w:color w:val="000000"/>
          <w:spacing w:val="0"/>
          <w:w w:val="100"/>
          <w:position w:val="0"/>
        </w:rPr>
      </w:pPr>
    </w:p>
    <w:p>
      <w:pPr>
        <w:pStyle w:val="19"/>
        <w:keepNext w:val="0"/>
        <w:keepLines w:val="0"/>
        <w:widowControl w:val="0"/>
        <w:shd w:val="clear" w:color="auto" w:fill="auto"/>
        <w:bidi w:val="0"/>
        <w:spacing w:before="0" w:after="0" w:line="240" w:lineRule="auto"/>
        <w:ind w:left="0" w:right="0" w:firstLine="0"/>
        <w:jc w:val="right"/>
        <w:rPr>
          <w:color w:val="000000"/>
          <w:spacing w:val="0"/>
          <w:w w:val="100"/>
          <w:position w:val="0"/>
        </w:rPr>
      </w:pPr>
    </w:p>
    <w:p>
      <w:pPr>
        <w:pStyle w:val="19"/>
        <w:keepNext w:val="0"/>
        <w:keepLines w:val="0"/>
        <w:widowControl w:val="0"/>
        <w:shd w:val="clear" w:color="auto" w:fill="auto"/>
        <w:bidi w:val="0"/>
        <w:spacing w:before="0" w:after="0" w:line="240" w:lineRule="auto"/>
        <w:ind w:left="0" w:right="0" w:firstLine="0"/>
        <w:jc w:val="right"/>
        <w:rPr>
          <w:color w:val="000000"/>
          <w:spacing w:val="0"/>
          <w:w w:val="100"/>
          <w:position w:val="0"/>
        </w:rPr>
      </w:pPr>
    </w:p>
    <w:p>
      <w:pPr>
        <w:spacing w:line="560" w:lineRule="exact"/>
        <w:ind w:firstLine="640" w:firstLineChars="200"/>
        <w:jc w:val="right"/>
        <w:rPr>
          <w:rFonts w:hint="eastAsia" w:ascii="仿宋_GB2312" w:eastAsia="仿宋_GB2312"/>
          <w:sz w:val="32"/>
          <w:szCs w:val="32"/>
        </w:rPr>
      </w:pPr>
      <w:bookmarkStart w:id="13" w:name="bookmark47"/>
      <w:bookmarkEnd w:id="13"/>
      <w:r>
        <w:rPr>
          <w:rFonts w:hint="eastAsia" w:ascii="仿宋_GB2312" w:eastAsia="仿宋_GB2312"/>
          <w:sz w:val="32"/>
          <w:szCs w:val="32"/>
        </w:rPr>
        <w:t>开平市城市</w:t>
      </w:r>
      <w:r>
        <w:rPr>
          <w:rFonts w:hint="eastAsia" w:ascii="仿宋_GB2312" w:eastAsia="仿宋_GB2312"/>
          <w:sz w:val="32"/>
          <w:szCs w:val="32"/>
          <w:lang w:eastAsia="zh-CN"/>
        </w:rPr>
        <w:t>管理和综合执法</w:t>
      </w:r>
      <w:r>
        <w:rPr>
          <w:rFonts w:hint="eastAsia" w:ascii="仿宋_GB2312" w:eastAsia="仿宋_GB2312"/>
          <w:sz w:val="32"/>
          <w:szCs w:val="32"/>
        </w:rPr>
        <w:t>局</w:t>
      </w:r>
    </w:p>
    <w:p>
      <w:pPr>
        <w:spacing w:line="560" w:lineRule="exact"/>
        <w:ind w:right="320" w:firstLine="640" w:firstLineChars="200"/>
        <w:jc w:val="right"/>
        <w:rPr>
          <w:rFonts w:hint="eastAsia"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年3月</w:t>
      </w:r>
      <w:r>
        <w:rPr>
          <w:rFonts w:hint="eastAsia" w:ascii="仿宋_GB2312" w:eastAsia="仿宋_GB2312"/>
          <w:sz w:val="32"/>
          <w:szCs w:val="32"/>
          <w:lang w:val="en-US" w:eastAsia="zh-CN"/>
        </w:rPr>
        <w:t>30</w:t>
      </w:r>
      <w:r>
        <w:rPr>
          <w:rFonts w:hint="eastAsia" w:ascii="仿宋_GB2312" w:eastAsia="仿宋_GB2312"/>
          <w:sz w:val="32"/>
          <w:szCs w:val="32"/>
        </w:rPr>
        <w:t>日</w:t>
      </w:r>
    </w:p>
    <w:p>
      <w:pPr>
        <w:pStyle w:val="13"/>
        <w:keepNext w:val="0"/>
        <w:keepLines w:val="0"/>
        <w:widowControl w:val="0"/>
        <w:shd w:val="clear" w:color="auto" w:fill="auto"/>
        <w:bidi w:val="0"/>
        <w:spacing w:before="0" w:after="0" w:line="598" w:lineRule="exact"/>
        <w:ind w:left="0" w:right="0" w:firstLine="0"/>
        <w:jc w:val="both"/>
      </w:pPr>
    </w:p>
    <w:sectPr>
      <w:footerReference r:id="rId5" w:type="default"/>
      <w:footerReference r:id="rId6" w:type="even"/>
      <w:footnotePr>
        <w:numFmt w:val="decimal"/>
      </w:footnotePr>
      <w:pgSz w:w="11900" w:h="16840"/>
      <w:pgMar w:top="1706" w:right="1555" w:bottom="1728" w:left="1382" w:header="1278"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1139190</wp:posOffset>
              </wp:positionH>
              <wp:positionV relativeFrom="page">
                <wp:posOffset>9606915</wp:posOffset>
              </wp:positionV>
              <wp:extent cx="59690" cy="77470"/>
              <wp:effectExtent l="0" t="0" r="0" b="0"/>
              <wp:wrapNone/>
              <wp:docPr id="13" name="Shape 13"/>
              <wp:cNvGraphicFramePr/>
              <a:graphic xmlns:a="http://schemas.openxmlformats.org/drawingml/2006/main">
                <a:graphicData uri="http://schemas.microsoft.com/office/word/2010/wordprocessingShape">
                  <wps:wsp>
                    <wps:cNvSpPr txBox="1"/>
                    <wps:spPr>
                      <a:xfrm>
                        <a:off x="0" y="0"/>
                        <a:ext cx="59690" cy="77470"/>
                      </a:xfrm>
                      <a:prstGeom prst="rect">
                        <a:avLst/>
                      </a:prstGeom>
                      <a:noFill/>
                    </wps:spPr>
                    <wps:txbx>
                      <w:txbxContent>
                        <w:p>
                          <w:pPr>
                            <w:pStyle w:val="11"/>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13" o:spid="_x0000_s1026" o:spt="202" type="#_x0000_t202" style="position:absolute;left:0pt;margin-left:89.7pt;margin-top:756.45pt;height:6.1pt;width:4.7pt;mso-position-horizontal-relative:page;mso-position-vertical-relative:page;mso-wrap-style:none;z-index:-440400896;mso-width-relative:page;mso-height-relative:page;" filled="f" stroked="f" coordsize="21600,21600" o:gfxdata="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SlOh82AAA&#10;AA0BAAAPAAAAAAAAAAEAIAAAACIAAABkcnMvZG93bnJldi54bWxQSwECFAAUAAAACACHTuJA/w6q&#10;uawBAABvAwAADgAAAAAAAAABACAAAAAnAQAAZHJzL2Uyb0RvYy54bWxQSwUGAAAAAAYABgBZAQAA&#10;RQUAAAAA&#10;">
              <v:fill on="f" focussize="0,0"/>
              <v:stroke on="f"/>
              <v:imagedata o:title=""/>
              <o:lock v:ext="edit" aspectratio="f"/>
              <v:textbox inset="0mm,0mm,0mm,0mm" style="mso-fit-shape-to-text:t;">
                <w:txbxContent>
                  <w:p>
                    <w:pPr>
                      <w:pStyle w:val="11"/>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62915584" behindDoc="1" locked="0" layoutInCell="1" allowOverlap="1">
              <wp:simplePos x="0" y="0"/>
              <wp:positionH relativeFrom="page">
                <wp:posOffset>1139190</wp:posOffset>
              </wp:positionH>
              <wp:positionV relativeFrom="page">
                <wp:posOffset>9606915</wp:posOffset>
              </wp:positionV>
              <wp:extent cx="59690" cy="77470"/>
              <wp:effectExtent l="0" t="0" r="0" b="0"/>
              <wp:wrapNone/>
              <wp:docPr id="15" name="Shape 15"/>
              <wp:cNvGraphicFramePr/>
              <a:graphic xmlns:a="http://schemas.openxmlformats.org/drawingml/2006/main">
                <a:graphicData uri="http://schemas.microsoft.com/office/word/2010/wordprocessingShape">
                  <wps:wsp>
                    <wps:cNvSpPr txBox="1"/>
                    <wps:spPr>
                      <a:xfrm>
                        <a:off x="0" y="0"/>
                        <a:ext cx="59690" cy="77470"/>
                      </a:xfrm>
                      <a:prstGeom prst="rect">
                        <a:avLst/>
                      </a:prstGeom>
                      <a:noFill/>
                    </wps:spPr>
                    <wps:txbx>
                      <w:txbxContent>
                        <w:p>
                          <w:pPr>
                            <w:pStyle w:val="11"/>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15" o:spid="_x0000_s1026" o:spt="202" type="#_x0000_t202" style="position:absolute;left:0pt;margin-left:89.7pt;margin-top:756.45pt;height:6.1pt;width:4.7pt;mso-position-horizontal-relative:page;mso-position-vertical-relative:page;mso-wrap-style:none;z-index:-440400896;mso-width-relative:page;mso-height-relative:page;" filled="f" stroked="f" coordsize="21600,21600" o:gfxdata="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SlOh82AAA&#10;AA0BAAAPAAAAAAAAAAEAIAAAACIAAABkcnMvZG93bnJldi54bWxQSwECFAAUAAAACACHTuJA21Eo&#10;kawBAABvAwAADgAAAAAAAAABACAAAAAnAQAAZHJzL2Uyb0RvYy54bWxQSwUGAAAAAAYABgBZAQAA&#10;RQUAAAAA&#10;">
              <v:fill on="f" focussize="0,0"/>
              <v:stroke on="f"/>
              <v:imagedata o:title=""/>
              <o:lock v:ext="edit" aspectratio="f"/>
              <v:textbox inset="0mm,0mm,0mm,0mm" style="mso-fit-shape-to-text:t;">
                <w:txbxContent>
                  <w:p>
                    <w:pPr>
                      <w:pStyle w:val="11"/>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6034CC"/>
    <w:multiLevelType w:val="singleLevel"/>
    <w:tmpl w:val="926034CC"/>
    <w:lvl w:ilvl="0" w:tentative="0">
      <w:start w:val="2"/>
      <w:numFmt w:val="chineseCounting"/>
      <w:suff w:val="nothing"/>
      <w:lvlText w:val="%1、"/>
      <w:lvlJc w:val="left"/>
      <w:rPr>
        <w:rFonts w:hint="eastAsia"/>
      </w:rPr>
    </w:lvl>
  </w:abstractNum>
  <w:abstractNum w:abstractNumId="1">
    <w:nsid w:val="D0C6F909"/>
    <w:multiLevelType w:val="singleLevel"/>
    <w:tmpl w:val="D0C6F909"/>
    <w:lvl w:ilvl="0" w:tentative="0">
      <w:start w:val="1"/>
      <w:numFmt w:val="decimal"/>
      <w:suff w:val="nothing"/>
      <w:lvlText w:val="%1、"/>
      <w:lvlJc w:val="left"/>
    </w:lvl>
  </w:abstractNum>
  <w:abstractNum w:abstractNumId="2">
    <w:nsid w:val="F0FA2F4F"/>
    <w:multiLevelType w:val="singleLevel"/>
    <w:tmpl w:val="F0FA2F4F"/>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
  <w:rsids>
    <w:rsidRoot w:val="00000000"/>
    <w:rsid w:val="02DC0EDF"/>
    <w:rsid w:val="099C7D3C"/>
    <w:rsid w:val="20DE79CE"/>
    <w:rsid w:val="2E120D86"/>
    <w:rsid w:val="3EE100B1"/>
    <w:rsid w:val="5C324FDE"/>
    <w:rsid w:val="740F51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basedOn w:val="5"/>
    <w:qFormat/>
    <w:uiPriority w:val="0"/>
    <w:rPr>
      <w:color w:val="0000FF"/>
      <w:u w:val="single"/>
    </w:rPr>
  </w:style>
  <w:style w:type="character" w:customStyle="1" w:styleId="8">
    <w:name w:val="Heading #1|1_"/>
    <w:basedOn w:val="5"/>
    <w:link w:val="9"/>
    <w:qFormat/>
    <w:uiPriority w:val="0"/>
    <w:rPr>
      <w:rFonts w:ascii="宋体" w:hAnsi="宋体" w:eastAsia="宋体" w:cs="宋体"/>
      <w:color w:val="E91C13"/>
      <w:sz w:val="64"/>
      <w:szCs w:val="64"/>
      <w:u w:val="none"/>
      <w:shd w:val="clear" w:color="auto" w:fill="auto"/>
      <w:lang w:val="zh-TW" w:eastAsia="zh-TW" w:bidi="zh-TW"/>
    </w:rPr>
  </w:style>
  <w:style w:type="paragraph" w:customStyle="1" w:styleId="9">
    <w:name w:val="Heading #1|1"/>
    <w:basedOn w:val="1"/>
    <w:link w:val="8"/>
    <w:qFormat/>
    <w:uiPriority w:val="0"/>
    <w:pPr>
      <w:widowControl w:val="0"/>
      <w:shd w:val="clear" w:color="auto" w:fill="auto"/>
      <w:spacing w:after="1180"/>
      <w:jc w:val="center"/>
      <w:outlineLvl w:val="0"/>
    </w:pPr>
    <w:rPr>
      <w:rFonts w:ascii="宋体" w:hAnsi="宋体" w:eastAsia="宋体" w:cs="宋体"/>
      <w:color w:val="E91C13"/>
      <w:sz w:val="64"/>
      <w:szCs w:val="64"/>
      <w:u w:val="none"/>
      <w:shd w:val="clear" w:color="auto" w:fill="auto"/>
      <w:lang w:val="zh-TW" w:eastAsia="zh-TW" w:bidi="zh-TW"/>
    </w:rPr>
  </w:style>
  <w:style w:type="character" w:customStyle="1" w:styleId="10">
    <w:name w:val="Header or footer|2_"/>
    <w:basedOn w:val="5"/>
    <w:link w:val="11"/>
    <w:qFormat/>
    <w:uiPriority w:val="0"/>
    <w:rPr>
      <w:sz w:val="20"/>
      <w:szCs w:val="20"/>
      <w:u w:val="none"/>
      <w:shd w:val="clear" w:color="auto" w:fill="auto"/>
      <w:lang w:val="zh-TW" w:eastAsia="zh-TW" w:bidi="zh-TW"/>
    </w:rPr>
  </w:style>
  <w:style w:type="paragraph" w:customStyle="1" w:styleId="11">
    <w:name w:val="Header or footer|2"/>
    <w:basedOn w:val="1"/>
    <w:link w:val="10"/>
    <w:qFormat/>
    <w:uiPriority w:val="0"/>
    <w:pPr>
      <w:widowControl w:val="0"/>
      <w:shd w:val="clear" w:color="auto" w:fill="auto"/>
    </w:pPr>
    <w:rPr>
      <w:sz w:val="20"/>
      <w:szCs w:val="20"/>
      <w:u w:val="none"/>
      <w:shd w:val="clear" w:color="auto" w:fill="auto"/>
      <w:lang w:val="zh-TW" w:eastAsia="zh-TW" w:bidi="zh-TW"/>
    </w:rPr>
  </w:style>
  <w:style w:type="character" w:customStyle="1" w:styleId="12">
    <w:name w:val="Body text|1_"/>
    <w:basedOn w:val="5"/>
    <w:link w:val="13"/>
    <w:qFormat/>
    <w:uiPriority w:val="0"/>
    <w:rPr>
      <w:rFonts w:ascii="宋体" w:hAnsi="宋体" w:eastAsia="宋体" w:cs="宋体"/>
      <w:sz w:val="30"/>
      <w:szCs w:val="30"/>
      <w:u w:val="none"/>
      <w:shd w:val="clear" w:color="auto" w:fill="auto"/>
      <w:lang w:val="zh-TW" w:eastAsia="zh-TW" w:bidi="zh-TW"/>
    </w:rPr>
  </w:style>
  <w:style w:type="paragraph" w:customStyle="1" w:styleId="13">
    <w:name w:val="Body text|1"/>
    <w:basedOn w:val="1"/>
    <w:link w:val="12"/>
    <w:qFormat/>
    <w:uiPriority w:val="0"/>
    <w:pPr>
      <w:widowControl w:val="0"/>
      <w:shd w:val="clear" w:color="auto" w:fill="auto"/>
      <w:spacing w:line="406" w:lineRule="auto"/>
      <w:ind w:firstLine="400"/>
    </w:pPr>
    <w:rPr>
      <w:rFonts w:ascii="宋体" w:hAnsi="宋体" w:eastAsia="宋体" w:cs="宋体"/>
      <w:sz w:val="30"/>
      <w:szCs w:val="30"/>
      <w:u w:val="none"/>
      <w:shd w:val="clear" w:color="auto" w:fill="auto"/>
      <w:lang w:val="zh-TW" w:eastAsia="zh-TW" w:bidi="zh-TW"/>
    </w:rPr>
  </w:style>
  <w:style w:type="character" w:customStyle="1" w:styleId="14">
    <w:name w:val="Heading #2|1_"/>
    <w:basedOn w:val="5"/>
    <w:link w:val="15"/>
    <w:qFormat/>
    <w:uiPriority w:val="0"/>
    <w:rPr>
      <w:rFonts w:ascii="宋体" w:hAnsi="宋体" w:eastAsia="宋体" w:cs="宋体"/>
      <w:sz w:val="40"/>
      <w:szCs w:val="40"/>
      <w:u w:val="none"/>
      <w:shd w:val="clear" w:color="auto" w:fill="auto"/>
      <w:lang w:val="zh-TW" w:eastAsia="zh-TW" w:bidi="zh-TW"/>
    </w:rPr>
  </w:style>
  <w:style w:type="paragraph" w:customStyle="1" w:styleId="15">
    <w:name w:val="Heading #2|1"/>
    <w:basedOn w:val="1"/>
    <w:link w:val="14"/>
    <w:qFormat/>
    <w:uiPriority w:val="0"/>
    <w:pPr>
      <w:widowControl w:val="0"/>
      <w:shd w:val="clear" w:color="auto" w:fill="auto"/>
      <w:spacing w:after="100" w:line="814" w:lineRule="exact"/>
      <w:jc w:val="center"/>
      <w:outlineLvl w:val="1"/>
    </w:pPr>
    <w:rPr>
      <w:rFonts w:ascii="宋体" w:hAnsi="宋体" w:eastAsia="宋体" w:cs="宋体"/>
      <w:sz w:val="40"/>
      <w:szCs w:val="40"/>
      <w:u w:val="none"/>
      <w:shd w:val="clear" w:color="auto" w:fill="auto"/>
      <w:lang w:val="zh-TW" w:eastAsia="zh-TW" w:bidi="zh-TW"/>
    </w:rPr>
  </w:style>
  <w:style w:type="character" w:customStyle="1" w:styleId="16">
    <w:name w:val="Body text|2_"/>
    <w:basedOn w:val="5"/>
    <w:link w:val="17"/>
    <w:qFormat/>
    <w:uiPriority w:val="0"/>
    <w:rPr>
      <w:sz w:val="30"/>
      <w:szCs w:val="30"/>
      <w:u w:val="none"/>
      <w:shd w:val="clear" w:color="auto" w:fill="auto"/>
      <w:lang w:val="zh-TW" w:eastAsia="zh-TW" w:bidi="zh-TW"/>
    </w:rPr>
  </w:style>
  <w:style w:type="paragraph" w:customStyle="1" w:styleId="17">
    <w:name w:val="Body text|2"/>
    <w:basedOn w:val="1"/>
    <w:link w:val="16"/>
    <w:qFormat/>
    <w:uiPriority w:val="0"/>
    <w:pPr>
      <w:widowControl w:val="0"/>
      <w:shd w:val="clear" w:color="auto" w:fill="auto"/>
      <w:spacing w:after="730" w:line="403" w:lineRule="auto"/>
      <w:ind w:firstLine="300"/>
    </w:pPr>
    <w:rPr>
      <w:sz w:val="30"/>
      <w:szCs w:val="30"/>
      <w:u w:val="none"/>
      <w:shd w:val="clear" w:color="auto" w:fill="auto"/>
      <w:lang w:val="zh-TW" w:eastAsia="zh-TW" w:bidi="zh-TW"/>
    </w:rPr>
  </w:style>
  <w:style w:type="character" w:customStyle="1" w:styleId="18">
    <w:name w:val="Body text|3_"/>
    <w:basedOn w:val="5"/>
    <w:link w:val="19"/>
    <w:qFormat/>
    <w:uiPriority w:val="0"/>
    <w:rPr>
      <w:rFonts w:ascii="宋体" w:hAnsi="宋体" w:eastAsia="宋体" w:cs="宋体"/>
      <w:sz w:val="20"/>
      <w:szCs w:val="20"/>
      <w:u w:val="none"/>
      <w:shd w:val="clear" w:color="auto" w:fill="auto"/>
      <w:lang w:val="zh-TW" w:eastAsia="zh-TW" w:bidi="zh-TW"/>
    </w:rPr>
  </w:style>
  <w:style w:type="paragraph" w:customStyle="1" w:styleId="19">
    <w:name w:val="Body text|3"/>
    <w:basedOn w:val="1"/>
    <w:link w:val="18"/>
    <w:qFormat/>
    <w:uiPriority w:val="0"/>
    <w:pPr>
      <w:widowControl w:val="0"/>
      <w:shd w:val="clear" w:color="auto" w:fill="auto"/>
      <w:jc w:val="right"/>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6</TotalTime>
  <ScaleCrop>false</ScaleCrop>
  <LinksUpToDate>false</LinksUpToDate>
  <Application>WPS Office_11.1.0.10228_F1E327BC-269C-435d-A152-05C5408002CA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2021-04-02T03:08:00Z</dcterms:created>
  <dc:creator>Administrator</dc:creator>
  <cp:lastModifiedBy>Administrator</cp:lastModifiedBy>
  <cp:lastPrinted>2021-04-02T06:54:44Z</cp:lastPrinted>
  <dcterms:modified xsi:type="dcterms:W3CDTF">2021-04-02T06:57:11Z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