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widowControl w:val="0"/>
        <w:wordWrap/>
        <w:adjustRightInd/>
        <w:snapToGrid/>
        <w:spacing w:line="580" w:lineRule="exact"/>
        <w:jc w:val="center"/>
        <w:textAlignment w:val="auto"/>
        <w:rPr>
          <w:rFonts w:hint="eastAsia" w:ascii="宋体" w:hAnsi="宋体" w:eastAsia="宋体" w:cs="宋体"/>
          <w:b/>
          <w:bCs/>
          <w:sz w:val="44"/>
          <w:szCs w:val="44"/>
          <w:lang w:val="en-US" w:eastAsia="zh-CN"/>
        </w:rPr>
      </w:pP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粮食和物资储备企业</w:t>
      </w:r>
    </w:p>
    <w:p>
      <w:pPr>
        <w:widowControl w:val="0"/>
        <w:wordWrap/>
        <w:adjustRightInd/>
        <w:snapToGrid/>
        <w:spacing w:line="580" w:lineRule="exact"/>
        <w:jc w:val="center"/>
        <w:textAlignment w:val="auto"/>
        <w:rPr>
          <w:rFonts w:hint="eastAsia" w:ascii="楷体_GB2312" w:hAnsi="楷体_GB2312" w:eastAsia="楷体_GB2312" w:cs="楷体_GB2312"/>
          <w:b/>
          <w:bCs w:val="0"/>
          <w:color w:val="000000"/>
          <w:sz w:val="32"/>
          <w:szCs w:val="44"/>
        </w:rPr>
      </w:pPr>
      <w:r>
        <w:rPr>
          <w:rFonts w:hint="eastAsia" w:ascii="方正小标宋简体" w:hAnsi="方正小标宋简体" w:eastAsia="方正小标宋简体" w:cs="方正小标宋简体"/>
          <w:b w:val="0"/>
          <w:bCs w:val="0"/>
          <w:sz w:val="44"/>
          <w:szCs w:val="44"/>
          <w:lang w:val="en-US" w:eastAsia="zh-CN"/>
        </w:rPr>
        <w:t>新冠肺炎疫情防控和复工复产财税金融支持政策指引</w:t>
      </w:r>
      <w:r>
        <w:rPr>
          <w:rFonts w:hint="eastAsia" w:ascii="方正小标宋_GBK" w:hAnsi="方正小标宋_GBK" w:eastAsia="方正小标宋_GBK" w:cs="方正小标宋_GBK"/>
          <w:bCs/>
          <w:sz w:val="44"/>
          <w:szCs w:val="44"/>
        </w:rPr>
        <w:br/>
      </w:r>
      <w:r>
        <w:rPr>
          <w:rFonts w:hint="eastAsia" w:ascii="楷体_GB2312" w:hAnsi="楷体_GB2312" w:eastAsia="楷体_GB2312" w:cs="楷体_GB2312"/>
          <w:b/>
          <w:bCs w:val="0"/>
          <w:color w:val="000000"/>
          <w:sz w:val="32"/>
          <w:szCs w:val="44"/>
        </w:rPr>
        <w:t>2020年4月</w:t>
      </w:r>
      <w:r>
        <w:rPr>
          <w:rFonts w:hint="eastAsia" w:ascii="楷体_GB2312" w:hAnsi="楷体_GB2312" w:eastAsia="楷体_GB2312" w:cs="楷体_GB2312"/>
          <w:b/>
          <w:bCs w:val="0"/>
          <w:color w:val="000000"/>
          <w:sz w:val="32"/>
          <w:szCs w:val="44"/>
          <w:lang w:val="en-US" w:eastAsia="zh-CN"/>
        </w:rPr>
        <w:t>20日</w:t>
      </w:r>
    </w:p>
    <w:p>
      <w:pPr>
        <w:widowControl w:val="0"/>
        <w:wordWrap/>
        <w:adjustRightInd/>
        <w:snapToGrid/>
        <w:spacing w:line="580" w:lineRule="exact"/>
        <w:jc w:val="center"/>
        <w:textAlignment w:val="auto"/>
        <w:rPr>
          <w:rFonts w:hint="eastAsia" w:ascii="楷体_GB2312" w:hAnsi="楷体_GB2312" w:eastAsia="楷体_GB2312" w:cs="楷体_GB2312"/>
          <w:b/>
          <w:bCs w:val="0"/>
          <w:color w:val="000000"/>
          <w:sz w:val="32"/>
          <w:szCs w:val="44"/>
          <w:lang w:eastAsia="zh-CN"/>
        </w:rPr>
      </w:pPr>
      <w:r>
        <w:rPr>
          <w:rFonts w:hint="eastAsia" w:ascii="楷体_GB2312" w:hAnsi="楷体_GB2312" w:eastAsia="楷体_GB2312" w:cs="楷体_GB2312"/>
          <w:b/>
          <w:bCs w:val="0"/>
          <w:color w:val="000000"/>
          <w:sz w:val="32"/>
          <w:szCs w:val="44"/>
          <w:lang w:eastAsia="zh-CN"/>
        </w:rPr>
        <w:t>（国家粮食和物资储备局财务审计</w:t>
      </w:r>
      <w:bookmarkStart w:id="0" w:name="_GoBack"/>
      <w:bookmarkEnd w:id="0"/>
      <w:r>
        <w:rPr>
          <w:rFonts w:hint="eastAsia" w:ascii="楷体_GB2312" w:hAnsi="楷体_GB2312" w:eastAsia="楷体_GB2312" w:cs="楷体_GB2312"/>
          <w:b/>
          <w:bCs w:val="0"/>
          <w:color w:val="000000"/>
          <w:sz w:val="32"/>
          <w:szCs w:val="44"/>
          <w:lang w:eastAsia="zh-CN"/>
        </w:rPr>
        <w:t>司）</w:t>
      </w:r>
    </w:p>
    <w:tbl>
      <w:tblPr>
        <w:tblStyle w:val="11"/>
        <w:tblW w:w="12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211"/>
        <w:gridCol w:w="6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blHeader/>
          <w:jc w:val="center"/>
        </w:trPr>
        <w:tc>
          <w:tcPr>
            <w:tcW w:w="842" w:type="dxa"/>
            <w:vAlign w:val="center"/>
          </w:tcPr>
          <w:p>
            <w:pPr>
              <w:jc w:val="center"/>
              <w:rPr>
                <w:rFonts w:hint="eastAsia" w:ascii="黑体" w:hAnsi="黑体" w:eastAsia="黑体" w:cs="黑体"/>
                <w:b w:val="0"/>
                <w:bCs/>
                <w:sz w:val="24"/>
              </w:rPr>
            </w:pPr>
            <w:r>
              <w:rPr>
                <w:rFonts w:hint="eastAsia" w:ascii="黑体" w:hAnsi="黑体" w:eastAsia="黑体" w:cs="黑体"/>
                <w:b w:val="0"/>
                <w:bCs/>
                <w:sz w:val="24"/>
              </w:rPr>
              <w:t>序号</w:t>
            </w:r>
          </w:p>
        </w:tc>
        <w:tc>
          <w:tcPr>
            <w:tcW w:w="5211" w:type="dxa"/>
            <w:vAlign w:val="center"/>
          </w:tcPr>
          <w:p>
            <w:pPr>
              <w:jc w:val="center"/>
              <w:rPr>
                <w:rFonts w:hint="eastAsia" w:ascii="黑体" w:hAnsi="黑体" w:eastAsia="黑体" w:cs="黑体"/>
                <w:b w:val="0"/>
                <w:bCs/>
                <w:sz w:val="24"/>
              </w:rPr>
            </w:pPr>
            <w:r>
              <w:rPr>
                <w:rFonts w:hint="eastAsia" w:ascii="黑体" w:hAnsi="黑体" w:eastAsia="黑体" w:cs="黑体"/>
                <w:b w:val="0"/>
                <w:bCs/>
                <w:sz w:val="24"/>
              </w:rPr>
              <w:t>政策文件</w:t>
            </w:r>
            <w:r>
              <w:rPr>
                <w:rFonts w:hint="eastAsia" w:ascii="黑体" w:hAnsi="黑体" w:eastAsia="黑体" w:cs="黑体"/>
                <w:b w:val="0"/>
                <w:bCs/>
                <w:sz w:val="24"/>
                <w:lang w:eastAsia="zh-CN"/>
              </w:rPr>
              <w:t>名称</w:t>
            </w:r>
          </w:p>
        </w:tc>
        <w:tc>
          <w:tcPr>
            <w:tcW w:w="6877" w:type="dxa"/>
            <w:vAlign w:val="center"/>
          </w:tcPr>
          <w:p>
            <w:pPr>
              <w:jc w:val="center"/>
              <w:rPr>
                <w:rFonts w:hint="eastAsia" w:ascii="黑体" w:hAnsi="黑体" w:eastAsia="黑体" w:cs="黑体"/>
                <w:b w:val="0"/>
                <w:bCs/>
                <w:sz w:val="24"/>
              </w:rPr>
            </w:pPr>
            <w:r>
              <w:rPr>
                <w:rFonts w:hint="eastAsia" w:ascii="黑体" w:hAnsi="黑体" w:eastAsia="黑体" w:cs="黑体"/>
                <w:b w:val="0"/>
                <w:bCs/>
                <w:sz w:val="24"/>
              </w:rPr>
              <w:t>财税金融</w:t>
            </w:r>
            <w:r>
              <w:rPr>
                <w:rFonts w:hint="eastAsia" w:ascii="黑体" w:hAnsi="黑体" w:eastAsia="黑体" w:cs="黑体"/>
                <w:b w:val="0"/>
                <w:bCs/>
                <w:sz w:val="24"/>
                <w:lang w:eastAsia="zh-CN"/>
              </w:rPr>
              <w:t>支持</w:t>
            </w:r>
            <w:r>
              <w:rPr>
                <w:rFonts w:hint="eastAsia" w:ascii="黑体" w:hAnsi="黑体" w:eastAsia="黑体" w:cs="黑体"/>
                <w:b w:val="0"/>
                <w:bCs/>
                <w:sz w:val="24"/>
              </w:rPr>
              <w:t>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jc w:val="center"/>
        </w:trPr>
        <w:tc>
          <w:tcPr>
            <w:tcW w:w="842" w:type="dxa"/>
            <w:vAlign w:val="center"/>
          </w:tcPr>
          <w:p>
            <w:pPr>
              <w:jc w:val="center"/>
              <w:rPr>
                <w:rFonts w:hint="eastAsia" w:ascii="仿宋_GB2312" w:hAnsi="Times New Roman" w:eastAsia="仿宋_GB2312"/>
                <w:bCs/>
                <w:sz w:val="24"/>
                <w:lang w:eastAsia="zh-CN"/>
              </w:rPr>
            </w:pPr>
            <w:r>
              <w:rPr>
                <w:rFonts w:hint="eastAsia" w:ascii="仿宋_GB2312" w:hAnsi="Times New Roman" w:eastAsia="仿宋_GB2312"/>
                <w:bCs/>
                <w:sz w:val="24"/>
                <w:lang w:val="en-US" w:eastAsia="zh-CN"/>
              </w:rPr>
              <w:t>1</w:t>
            </w:r>
          </w:p>
        </w:tc>
        <w:tc>
          <w:tcPr>
            <w:tcW w:w="5211" w:type="dxa"/>
            <w:vAlign w:val="center"/>
          </w:tcPr>
          <w:p>
            <w:pPr>
              <w:jc w:val="left"/>
              <w:rPr>
                <w:rFonts w:ascii="仿宋_GB2312" w:hAnsi="Times New Roman" w:eastAsia="仿宋_GB2312"/>
                <w:sz w:val="24"/>
              </w:rPr>
            </w:pPr>
            <w:r>
              <w:rPr>
                <w:rFonts w:hint="eastAsia" w:ascii="仿宋_GB2312" w:hAnsi="Times New Roman" w:eastAsia="仿宋_GB2312"/>
                <w:sz w:val="24"/>
              </w:rPr>
              <w:t>《财政部关于支持金融强化服务做好新型冠状病毒感染肺炎疫情防控工作的通知》（财金〔2020〕3号）</w:t>
            </w:r>
          </w:p>
        </w:tc>
        <w:tc>
          <w:tcPr>
            <w:tcW w:w="6877" w:type="dxa"/>
            <w:vAlign w:val="center"/>
          </w:tcPr>
          <w:p>
            <w:pPr>
              <w:jc w:val="left"/>
              <w:rPr>
                <w:rFonts w:ascii="仿宋_GB2312" w:hAnsi="Times New Roman" w:eastAsia="仿宋_GB2312"/>
                <w:sz w:val="24"/>
              </w:rPr>
            </w:pPr>
            <w:r>
              <w:rPr>
                <w:rFonts w:hint="eastAsia" w:ascii="仿宋_GB2312" w:hAnsi="Times New Roman" w:eastAsia="仿宋_GB2312"/>
                <w:sz w:val="24"/>
              </w:rPr>
              <w:t>对疫情防控重点保障企业贷款给予财政贴息支持。对2020年新增的疫情防控重点保障企业贷款，在人民银行专项再贷款支持金融机构提供优惠利率信贷的基础上，中央财政按人民银行再贷款利率的50%给予贴息，贴息期限不超过1年，贴息资金从普惠金融发展专项资金中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jc w:val="center"/>
        </w:trPr>
        <w:tc>
          <w:tcPr>
            <w:tcW w:w="842" w:type="dxa"/>
            <w:vAlign w:val="center"/>
          </w:tcPr>
          <w:p>
            <w:pPr>
              <w:jc w:val="center"/>
              <w:rPr>
                <w:rFonts w:hint="eastAsia" w:ascii="仿宋_GB2312" w:hAnsi="Times New Roman" w:eastAsia="仿宋_GB2312"/>
                <w:bCs/>
                <w:sz w:val="24"/>
                <w:lang w:val="en-US" w:eastAsia="zh-CN"/>
              </w:rPr>
            </w:pPr>
            <w:r>
              <w:rPr>
                <w:rFonts w:hint="eastAsia" w:ascii="仿宋_GB2312" w:hAnsi="Times New Roman" w:eastAsia="仿宋_GB2312"/>
                <w:bCs/>
                <w:sz w:val="24"/>
                <w:lang w:val="en-US" w:eastAsia="zh-CN"/>
              </w:rPr>
              <w:t>2</w:t>
            </w:r>
          </w:p>
        </w:tc>
        <w:tc>
          <w:tcPr>
            <w:tcW w:w="5211"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《财政部 发展改革委 工业和信息化部 人民银行 审计署关于打赢疫情防控阻击战 强化疫情防控重点保障企业资金支持的紧急通知》（财金〔</w:t>
            </w:r>
            <w:r>
              <w:rPr>
                <w:rFonts w:hint="default" w:ascii="仿宋_GB2312" w:hAnsi="Times New Roman" w:eastAsia="仿宋_GB2312"/>
                <w:sz w:val="24"/>
                <w:lang w:val="en-US"/>
              </w:rPr>
              <w:t>2020</w:t>
            </w:r>
            <w:r>
              <w:rPr>
                <w:rFonts w:hint="default" w:ascii="仿宋_GB2312" w:hAnsi="Times New Roman" w:eastAsia="仿宋_GB2312"/>
                <w:sz w:val="24"/>
              </w:rPr>
              <w:t>〕</w:t>
            </w:r>
            <w:r>
              <w:rPr>
                <w:rFonts w:hint="default" w:ascii="仿宋_GB2312" w:hAnsi="Times New Roman" w:eastAsia="仿宋_GB2312"/>
                <w:sz w:val="24"/>
                <w:lang w:val="en-US"/>
              </w:rPr>
              <w:t>5</w:t>
            </w:r>
            <w:r>
              <w:rPr>
                <w:rFonts w:hint="default" w:ascii="仿宋_GB2312" w:hAnsi="Times New Roman" w:eastAsia="仿宋_GB2312"/>
                <w:sz w:val="24"/>
              </w:rPr>
              <w:t>号）</w:t>
            </w:r>
          </w:p>
        </w:tc>
        <w:tc>
          <w:tcPr>
            <w:tcW w:w="6877" w:type="dxa"/>
            <w:vAlign w:val="center"/>
          </w:tcPr>
          <w:p>
            <w:pPr>
              <w:jc w:val="left"/>
              <w:rPr>
                <w:rFonts w:hint="eastAsia" w:ascii="仿宋_GB2312" w:hAnsi="Times New Roman" w:eastAsia="仿宋_GB2312"/>
                <w:sz w:val="24"/>
                <w:lang w:eastAsia="zh-CN"/>
              </w:rPr>
            </w:pPr>
            <w:r>
              <w:rPr>
                <w:rFonts w:hint="eastAsia" w:ascii="仿宋_GB2312" w:hAnsi="Times New Roman" w:eastAsia="仿宋_GB2312"/>
                <w:sz w:val="24"/>
                <w:lang w:eastAsia="zh-CN"/>
              </w:rPr>
              <w:t>明确疫情防控重点保障企业范围，对</w:t>
            </w:r>
            <w:r>
              <w:rPr>
                <w:rFonts w:hint="eastAsia" w:ascii="仿宋_GB2312" w:hAnsi="Times New Roman" w:eastAsia="仿宋_GB2312"/>
                <w:sz w:val="24"/>
              </w:rPr>
              <w:t>生产重要生活必需品</w:t>
            </w:r>
            <w:r>
              <w:rPr>
                <w:rFonts w:hint="eastAsia" w:ascii="仿宋_GB2312" w:hAnsi="Times New Roman" w:eastAsia="仿宋_GB2312"/>
                <w:sz w:val="24"/>
                <w:lang w:eastAsia="zh-CN"/>
              </w:rPr>
              <w:t>的骨干企业等疫情防控重点保障企业进行名单管理，由相关金融机构给予专项优惠贷款，并由中央财政给予贴息。</w:t>
            </w:r>
          </w:p>
          <w:p>
            <w:pPr>
              <w:jc w:val="left"/>
              <w:rPr>
                <w:rStyle w:val="10"/>
                <w:rFonts w:hint="eastAsia" w:ascii="仿宋_GB2312" w:hAnsi="Times New Roman"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2" w:type="dxa"/>
            <w:vAlign w:val="center"/>
          </w:tcPr>
          <w:p>
            <w:pPr>
              <w:jc w:val="center"/>
              <w:rPr>
                <w:rFonts w:hint="eastAsia" w:ascii="仿宋_GB2312" w:hAnsi="Times New Roman" w:eastAsia="仿宋_GB2312"/>
                <w:bCs/>
                <w:sz w:val="24"/>
                <w:lang w:val="en-US" w:eastAsia="zh-CN"/>
              </w:rPr>
            </w:pPr>
            <w:r>
              <w:rPr>
                <w:rFonts w:hint="eastAsia" w:ascii="仿宋_GB2312" w:hAnsi="Times New Roman" w:eastAsia="仿宋_GB2312"/>
                <w:bCs/>
                <w:sz w:val="24"/>
                <w:lang w:val="en-US" w:eastAsia="zh-CN"/>
              </w:rPr>
              <w:t>3</w:t>
            </w:r>
          </w:p>
        </w:tc>
        <w:tc>
          <w:tcPr>
            <w:tcW w:w="5211"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《财政部关于做好新冠肺炎疫情防控资产保障工作的通知》（财资〔2020〕4号）</w:t>
            </w:r>
          </w:p>
        </w:tc>
        <w:tc>
          <w:tcPr>
            <w:tcW w:w="6877" w:type="dxa"/>
            <w:vAlign w:val="center"/>
          </w:tcPr>
          <w:p>
            <w:pPr>
              <w:jc w:val="left"/>
              <w:rPr>
                <w:rFonts w:ascii="仿宋_GB2312" w:hAnsi="Times New Roman" w:eastAsia="仿宋_GB2312"/>
                <w:sz w:val="24"/>
              </w:rPr>
            </w:pPr>
            <w:r>
              <w:rPr>
                <w:rFonts w:hint="eastAsia" w:ascii="仿宋_GB2312" w:hAnsi="Times New Roman" w:eastAsia="仿宋_GB2312"/>
                <w:sz w:val="24"/>
              </w:rPr>
              <w:t>1.疫情防控期间，行政事业单位根据疫情防控工作需要紧急配置救治器械、医药防护用品等疫情防控资产，各部门、各地方本着急事急办、特事特办的原则，可简化资产配置审批程序，在履行必要的内部程序后，快速高效配置。</w:t>
            </w:r>
          </w:p>
          <w:p>
            <w:pPr>
              <w:jc w:val="left"/>
              <w:rPr>
                <w:rFonts w:hint="eastAsia" w:ascii="仿宋_GB2312" w:hAnsi="Times New Roman" w:eastAsia="仿宋_GB2312"/>
                <w:sz w:val="24"/>
              </w:rPr>
            </w:pPr>
            <w:r>
              <w:rPr>
                <w:rFonts w:hint="eastAsia" w:ascii="仿宋_GB2312" w:hAnsi="Times New Roman" w:eastAsia="仿宋_GB2312"/>
                <w:sz w:val="24"/>
              </w:rPr>
              <w:t>2.疫情防控期间，行政事业单位根据工作需要统筹调配、捐赠疫情防控资产，按照审批权限需报财政部门审批的，可按主管部门要求履行相关程序后实施，待疫情结束后统一报财政部门备案。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842" w:type="dxa"/>
            <w:vAlign w:val="center"/>
          </w:tcPr>
          <w:p>
            <w:pPr>
              <w:jc w:val="center"/>
              <w:rPr>
                <w:rFonts w:hint="eastAsia" w:ascii="仿宋_GB2312" w:hAnsi="Times New Roman" w:eastAsia="仿宋_GB2312"/>
                <w:bCs/>
                <w:sz w:val="24"/>
                <w:u w:val="none"/>
                <w:lang w:eastAsia="zh-CN"/>
              </w:rPr>
            </w:pPr>
            <w:r>
              <w:rPr>
                <w:rFonts w:hint="eastAsia" w:ascii="仿宋_GB2312" w:hAnsi="Times New Roman" w:eastAsia="仿宋_GB2312"/>
                <w:bCs/>
                <w:sz w:val="24"/>
                <w:u w:val="none"/>
                <w:lang w:val="en-US" w:eastAsia="zh-CN"/>
              </w:rPr>
              <w:t>4</w:t>
            </w:r>
          </w:p>
        </w:tc>
        <w:tc>
          <w:tcPr>
            <w:tcW w:w="5211" w:type="dxa"/>
            <w:vAlign w:val="center"/>
          </w:tcPr>
          <w:p>
            <w:pPr>
              <w:jc w:val="left"/>
              <w:rPr>
                <w:rFonts w:hint="eastAsia" w:ascii="仿宋_GB2312" w:hAnsi="Times New Roman" w:eastAsia="仿宋_GB2312"/>
                <w:sz w:val="24"/>
                <w:u w:val="none"/>
              </w:rPr>
            </w:pPr>
            <w:r>
              <w:rPr>
                <w:rFonts w:hint="eastAsia" w:ascii="仿宋_GB2312" w:hAnsi="Times New Roman" w:eastAsia="仿宋_GB2312"/>
                <w:sz w:val="24"/>
                <w:u w:val="none"/>
              </w:rPr>
              <w:t>《关于切实支持做好新冠肺炎疫情防控期间农产品稳产保供工作的通知》（财办农〔2020〕6号）</w:t>
            </w:r>
          </w:p>
        </w:tc>
        <w:tc>
          <w:tcPr>
            <w:tcW w:w="6877"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自即日起至2020年12月底，国家农业信贷担保联盟有限责任公司对全国省级农担公司再担保业务减半收取再担保费用。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eastAsia" w:ascii="仿宋_GB2312" w:hAnsi="Times New Roman" w:eastAsia="仿宋_GB2312"/>
                <w:bCs/>
                <w:sz w:val="24"/>
                <w:lang w:val="en-US" w:eastAsia="zh-CN"/>
              </w:rPr>
            </w:pPr>
            <w:r>
              <w:rPr>
                <w:rFonts w:hint="eastAsia" w:ascii="仿宋_GB2312" w:hAnsi="Times New Roman" w:eastAsia="仿宋_GB2312"/>
                <w:bCs/>
                <w:sz w:val="24"/>
                <w:lang w:val="en-US" w:eastAsia="zh-CN"/>
              </w:rPr>
              <w:t>5</w:t>
            </w:r>
          </w:p>
        </w:tc>
        <w:tc>
          <w:tcPr>
            <w:tcW w:w="5211"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《关于充分发挥政府性融资担保作用 为小微企业和“三农”主体融资增信的通知》（财金〔2020〕19号）</w:t>
            </w:r>
          </w:p>
        </w:tc>
        <w:tc>
          <w:tcPr>
            <w:tcW w:w="6877" w:type="dxa"/>
            <w:vAlign w:val="center"/>
          </w:tcPr>
          <w:p>
            <w:pPr>
              <w:jc w:val="left"/>
              <w:rPr>
                <w:rFonts w:ascii="仿宋_GB2312" w:hAnsi="Times New Roman" w:eastAsia="仿宋_GB2312"/>
                <w:sz w:val="24"/>
              </w:rPr>
            </w:pPr>
            <w:r>
              <w:rPr>
                <w:rFonts w:hint="eastAsia" w:ascii="仿宋_GB2312" w:hAnsi="Times New Roman" w:eastAsia="仿宋_GB2312"/>
                <w:sz w:val="24"/>
              </w:rPr>
              <w:t>1. 国家融资担保基金对合作机构单户100万元及以下担保业务免收再担保费，2020年全年对单户100万元以上担保业务减半收取再担保费。</w:t>
            </w:r>
          </w:p>
          <w:p>
            <w:pPr>
              <w:jc w:val="left"/>
              <w:rPr>
                <w:rFonts w:ascii="仿宋_GB2312" w:hAnsi="Times New Roman" w:eastAsia="仿宋_GB2312"/>
                <w:sz w:val="24"/>
              </w:rPr>
            </w:pPr>
            <w:r>
              <w:rPr>
                <w:rFonts w:hint="eastAsia" w:ascii="仿宋_GB2312" w:hAnsi="Times New Roman" w:eastAsia="仿宋_GB2312"/>
                <w:sz w:val="24"/>
              </w:rPr>
              <w:t>2.地方各级政府性融资担保、再担保机构2020年全年对小微企业减半收取融资担保、再担保费，力争将小微企业综合融资担保费率降至1%以下。确保2020年新增小微企业和“三农”融资担保金额和户数占比不低于80%，其中新增单户500万元以下小微企业和“三农”融资担保金额占比不低于50%。</w:t>
            </w:r>
          </w:p>
          <w:p>
            <w:pPr>
              <w:jc w:val="left"/>
              <w:rPr>
                <w:rFonts w:hint="eastAsia" w:ascii="仿宋_GB2312" w:hAnsi="Times New Roman" w:eastAsia="仿宋_GB2312"/>
                <w:sz w:val="24"/>
              </w:rPr>
            </w:pPr>
            <w:r>
              <w:rPr>
                <w:rFonts w:hint="eastAsia" w:ascii="仿宋_GB2312" w:hAnsi="Times New Roman" w:eastAsia="仿宋_GB2312"/>
                <w:sz w:val="24"/>
              </w:rPr>
              <w:t>3.2020年中央财政继续实施小微企业融资担保降费奖补政策，对扩大小微企业融资担保业务规模、降低小微企业融资担保费率等成效明显的地方予以奖补激励。符合条件的担保、再担保机构可按规定享受担保赔偿准备和未到期责任准备在企业所得税税前扣除等税收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eastAsia" w:ascii="仿宋_GB2312" w:hAnsi="Times New Roman" w:eastAsia="仿宋_GB2312"/>
                <w:bCs/>
                <w:sz w:val="24"/>
                <w:lang w:eastAsia="zh-CN"/>
              </w:rPr>
            </w:pPr>
            <w:r>
              <w:rPr>
                <w:rFonts w:hint="eastAsia" w:ascii="仿宋_GB2312" w:hAnsi="Times New Roman" w:eastAsia="仿宋_GB2312"/>
                <w:bCs/>
                <w:sz w:val="24"/>
                <w:lang w:val="en-US" w:eastAsia="zh-CN"/>
              </w:rPr>
              <w:t>6</w:t>
            </w:r>
          </w:p>
        </w:tc>
        <w:tc>
          <w:tcPr>
            <w:tcW w:w="5211" w:type="dxa"/>
            <w:vAlign w:val="center"/>
          </w:tcPr>
          <w:p>
            <w:pPr>
              <w:jc w:val="left"/>
              <w:rPr>
                <w:rFonts w:ascii="仿宋_GB2312" w:hAnsi="Times New Roman" w:eastAsia="仿宋_GB2312"/>
                <w:sz w:val="24"/>
              </w:rPr>
            </w:pPr>
            <w:r>
              <w:rPr>
                <w:rFonts w:hint="eastAsia" w:ascii="仿宋_GB2312" w:hAnsi="Times New Roman" w:eastAsia="仿宋_GB2312"/>
                <w:sz w:val="24"/>
              </w:rPr>
              <w:t>《关于妥善应对新冠肺炎疫情实施住房公积金阶段性支持政策的通知》（建金〔2020〕23号）</w:t>
            </w:r>
          </w:p>
        </w:tc>
        <w:tc>
          <w:tcPr>
            <w:tcW w:w="6877" w:type="dxa"/>
            <w:vAlign w:val="center"/>
          </w:tcPr>
          <w:p>
            <w:pPr>
              <w:jc w:val="left"/>
              <w:rPr>
                <w:rFonts w:ascii="仿宋_GB2312" w:hAnsi="Times New Roman" w:eastAsia="仿宋_GB2312"/>
                <w:sz w:val="24"/>
              </w:rPr>
            </w:pPr>
            <w:r>
              <w:rPr>
                <w:rFonts w:hint="eastAsia" w:ascii="仿宋_GB2312" w:hAnsi="Times New Roman" w:eastAsia="仿宋_GB2312"/>
                <w:sz w:val="24"/>
              </w:rPr>
              <w:t>1.受新冠肺炎疫情影响的企业，可按规定申请在2020年6月30日前缓缴住房公积金，缓缴期间缴存时间连续计算，不影响职工正常提取和申请住房公积金贷款。</w:t>
            </w:r>
          </w:p>
          <w:p>
            <w:pPr>
              <w:jc w:val="left"/>
              <w:rPr>
                <w:rFonts w:ascii="仿宋_GB2312" w:hAnsi="Times New Roman" w:eastAsia="仿宋_GB2312"/>
                <w:sz w:val="24"/>
              </w:rPr>
            </w:pPr>
            <w:r>
              <w:rPr>
                <w:rFonts w:hint="eastAsia" w:ascii="仿宋_GB2312" w:hAnsi="Times New Roman" w:eastAsia="仿宋_GB2312"/>
                <w:sz w:val="24"/>
              </w:rPr>
              <w:t>2.受新冠肺炎疫情影响的职工，2020年6月30日前住房公积金贷款不能正常还款的，不作逾期处理，不作为逾期记录报送征信部门，已报送的予以调整。对支付房租压力较大的职工，可合理提高租房提取额度、灵活安排提取时间。</w:t>
            </w:r>
          </w:p>
          <w:p>
            <w:pPr>
              <w:jc w:val="left"/>
              <w:rPr>
                <w:rFonts w:ascii="仿宋_GB2312" w:hAnsi="Times New Roman" w:eastAsia="仿宋_GB2312"/>
                <w:sz w:val="24"/>
              </w:rPr>
            </w:pPr>
            <w:r>
              <w:rPr>
                <w:rFonts w:hint="eastAsia" w:ascii="仿宋_GB2312" w:hAnsi="Times New Roman" w:eastAsia="仿宋_GB2312"/>
                <w:sz w:val="24"/>
              </w:rPr>
              <w:t>3.经认定的新冠肺炎疫情严重和较严重地区，企业在与职工充分协商的前提下，可在2020年6月30日前自愿缴存住房公积金。继续缴存的，自主确定缴存比例；停缴的，停缴期间缴存时间连续计算，不影响职工正常提取住房公积金和申请住房公积金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842" w:type="dxa"/>
            <w:vAlign w:val="center"/>
          </w:tcPr>
          <w:p>
            <w:pPr>
              <w:jc w:val="center"/>
              <w:rPr>
                <w:rFonts w:hint="eastAsia" w:ascii="仿宋_GB2312" w:hAnsi="Times New Roman" w:eastAsia="仿宋_GB2312"/>
                <w:bCs/>
                <w:sz w:val="24"/>
                <w:lang w:val="en-US" w:eastAsia="zh-CN"/>
              </w:rPr>
            </w:pPr>
            <w:r>
              <w:rPr>
                <w:rFonts w:hint="eastAsia" w:ascii="仿宋_GB2312" w:hAnsi="Times New Roman" w:eastAsia="仿宋_GB2312"/>
                <w:bCs/>
                <w:sz w:val="24"/>
                <w:lang w:val="en-US" w:eastAsia="zh-CN"/>
              </w:rPr>
              <w:t>7</w:t>
            </w:r>
          </w:p>
        </w:tc>
        <w:tc>
          <w:tcPr>
            <w:tcW w:w="5211"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《财政部办公厅关于疫情防控采购便利化的通知》（财办库〔2020〕23号）</w:t>
            </w:r>
          </w:p>
        </w:tc>
        <w:tc>
          <w:tcPr>
            <w:tcW w:w="6877"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各级国家机关、事业单位和团体组织（以下简称采购单位）使用财政性资金采购疫情防控相关货物、工程和服务的，应以满足疫情防控工作需要为首要目标，建立采购“绿色通道”，可不执行政府采购法规定的方式和程序，采购进口物资无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eastAsia" w:ascii="仿宋_GB2312" w:hAnsi="Times New Roman" w:eastAsia="仿宋_GB2312"/>
                <w:bCs/>
                <w:sz w:val="24"/>
                <w:lang w:val="en-US" w:eastAsia="zh-CN"/>
              </w:rPr>
            </w:pPr>
            <w:r>
              <w:rPr>
                <w:rFonts w:hint="eastAsia" w:ascii="仿宋_GB2312" w:hAnsi="Times New Roman" w:eastAsia="仿宋_GB2312"/>
                <w:bCs/>
                <w:sz w:val="24"/>
                <w:lang w:val="en-US" w:eastAsia="zh-CN"/>
              </w:rPr>
              <w:t>8</w:t>
            </w:r>
          </w:p>
        </w:tc>
        <w:tc>
          <w:tcPr>
            <w:tcW w:w="5211"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《关于疫情防控期间开展政府采购活动有关事项的通知》（财办库〔2020〕29号）</w:t>
            </w:r>
          </w:p>
        </w:tc>
        <w:tc>
          <w:tcPr>
            <w:tcW w:w="6877" w:type="dxa"/>
            <w:vAlign w:val="center"/>
          </w:tcPr>
          <w:p>
            <w:pPr>
              <w:jc w:val="left"/>
              <w:rPr>
                <w:rFonts w:hint="eastAsia" w:ascii="仿宋_GB2312" w:hAnsi="Times New Roman" w:eastAsia="仿宋_GB2312"/>
                <w:sz w:val="24"/>
              </w:rPr>
            </w:pPr>
            <w:r>
              <w:rPr>
                <w:rFonts w:hint="eastAsia" w:ascii="仿宋_GB2312" w:hAnsi="Times New Roman" w:eastAsia="仿宋_GB2312"/>
                <w:sz w:val="24"/>
              </w:rPr>
              <w:t>对于与疫情防控相关的采购项目，作为紧急采购项目，按照《财政部办公厅关于疫情防控采购便利化的通知》（财办库﹝2020﹞23号）的规定执行。对于非紧急的采购活动，因疫情防控而无法开展或无法按规定时间继续进行的采购活动，可酌情暂停或延期，并按规定发布相关信息、通知有关当事人；对于确有必要在疫情防控期间开展的政府采购活动及相关工作，要尽量选择网络、电话、邮寄等非现场方式实施。疫情防控期间需要选取政府采购评审专家的，原则上不采取现场抽取方式，可由采购人通过网络随机抽取或根据实际情况自行选定。对确需开展、按规定应在公共资源交易中心实施的采购活动，因公共资源交易中心暂停业务无法开展的，可在其他平台或其他场所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eastAsia"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9</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lang w:val="en-US" w:eastAsia="zh-CN"/>
              </w:rPr>
              <w:t>《关于支持新型冠状病毒感染的肺炎疫情防控有关税收政策的公告》（财政部、税务总局公告2020年第8号）</w:t>
            </w:r>
          </w:p>
          <w:p>
            <w:pPr>
              <w:jc w:val="left"/>
              <w:rPr>
                <w:rFonts w:hint="eastAsia" w:ascii="仿宋_GB2312" w:hAnsi="Times New Roman" w:eastAsia="仿宋_GB2312"/>
                <w:sz w:val="24"/>
                <w:highlight w:val="none"/>
              </w:rPr>
            </w:pP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lang w:val="en-US" w:eastAsia="zh-CN"/>
              </w:rPr>
              <w:t>1.对疫情防控重点保障物资生产企业为扩大产能新购置的相关设备，允许一次性计入当期成本费用在企业所得税税前扣除。</w:t>
            </w:r>
            <w:r>
              <w:rPr>
                <w:rFonts w:hint="eastAsia" w:ascii="仿宋_GB2312" w:hAnsi="Times New Roman" w:eastAsia="仿宋_GB2312"/>
                <w:sz w:val="24"/>
                <w:highlight w:val="none"/>
                <w:lang w:val="en-US" w:eastAsia="zh-CN"/>
              </w:rPr>
              <w:br/>
            </w:r>
            <w:r>
              <w:rPr>
                <w:rFonts w:hint="eastAsia" w:ascii="仿宋_GB2312" w:hAnsi="Times New Roman" w:eastAsia="仿宋_GB2312"/>
                <w:sz w:val="24"/>
                <w:highlight w:val="none"/>
                <w:lang w:val="en-US" w:eastAsia="zh-CN"/>
              </w:rPr>
              <w:t>2.疫情防控重点保障物资生产企业可以按月向主管税务机关申请全额退还增值税增量留抵税额。</w:t>
            </w:r>
            <w:r>
              <w:rPr>
                <w:rFonts w:hint="eastAsia" w:ascii="仿宋_GB2312" w:hAnsi="Times New Roman" w:eastAsia="仿宋_GB2312"/>
                <w:sz w:val="24"/>
                <w:highlight w:val="none"/>
                <w:lang w:val="en-US" w:eastAsia="zh-CN"/>
              </w:rPr>
              <w:br/>
            </w:r>
            <w:r>
              <w:rPr>
                <w:rFonts w:hint="eastAsia" w:ascii="仿宋_GB2312" w:hAnsi="Times New Roman" w:eastAsia="仿宋_GB2312"/>
                <w:sz w:val="24"/>
                <w:highlight w:val="none"/>
                <w:lang w:val="en-US" w:eastAsia="zh-CN"/>
              </w:rPr>
              <w:t>3.对纳税人运输疫情防控重点保障物资取得的收入，免征增值税。</w:t>
            </w:r>
            <w:r>
              <w:rPr>
                <w:rFonts w:hint="eastAsia" w:ascii="仿宋_GB2312" w:hAnsi="Times New Roman" w:eastAsia="仿宋_GB2312"/>
                <w:sz w:val="24"/>
                <w:highlight w:val="none"/>
                <w:lang w:val="en-US" w:eastAsia="zh-CN"/>
              </w:rPr>
              <w:br/>
            </w:r>
            <w:r>
              <w:rPr>
                <w:rFonts w:hint="eastAsia" w:ascii="仿宋_GB2312" w:hAnsi="Times New Roman" w:eastAsia="仿宋_GB2312"/>
                <w:sz w:val="24"/>
                <w:highlight w:val="none"/>
                <w:lang w:val="en-US" w:eastAsia="zh-CN"/>
              </w:rPr>
              <w:t>4.对纳税人提供公共交通运输服务、生活服务，以及为居民提供必需生活物资快递收派服务取得的收入，免征增值税。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10</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《财政部</w:t>
            </w:r>
            <w:r>
              <w:rPr>
                <w:rFonts w:hint="eastAsia" w:ascii="仿宋_GB2312" w:hAnsi="Times New Roman" w:eastAsia="仿宋_GB2312"/>
                <w:sz w:val="24"/>
                <w:highlight w:val="none"/>
                <w:lang w:val="en-US" w:eastAsia="zh-CN"/>
              </w:rPr>
              <w:t xml:space="preserve"> </w:t>
            </w:r>
            <w:r>
              <w:rPr>
                <w:rFonts w:hint="eastAsia" w:ascii="仿宋_GB2312" w:hAnsi="Times New Roman" w:eastAsia="仿宋_GB2312"/>
                <w:sz w:val="24"/>
                <w:highlight w:val="none"/>
              </w:rPr>
              <w:t>税务总局关于支持新型冠状病毒感染的肺炎疫情防控有关捐赠税收政策的公告》（</w:t>
            </w:r>
            <w:r>
              <w:rPr>
                <w:rFonts w:ascii="仿宋_GB2312" w:hAnsi="Times New Roman" w:eastAsia="仿宋_GB2312"/>
                <w:sz w:val="24"/>
                <w:highlight w:val="none"/>
              </w:rPr>
              <w:t>2020</w:t>
            </w:r>
            <w:r>
              <w:rPr>
                <w:rFonts w:hint="eastAsia" w:ascii="仿宋_GB2312" w:hAnsi="Times New Roman" w:eastAsia="仿宋_GB2312"/>
                <w:sz w:val="24"/>
                <w:highlight w:val="none"/>
              </w:rPr>
              <w:t>年第</w:t>
            </w:r>
            <w:r>
              <w:rPr>
                <w:rFonts w:ascii="仿宋_GB2312" w:hAnsi="Times New Roman" w:eastAsia="仿宋_GB2312"/>
                <w:sz w:val="24"/>
                <w:highlight w:val="none"/>
              </w:rPr>
              <w:t>9</w:t>
            </w:r>
            <w:r>
              <w:rPr>
                <w:rFonts w:hint="eastAsia" w:ascii="仿宋_GB2312" w:hAnsi="Times New Roman" w:eastAsia="仿宋_GB2312"/>
                <w:sz w:val="24"/>
                <w:highlight w:val="none"/>
              </w:rPr>
              <w:t>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自2020年1月1日起，企业和个人通过公益性社会组织或者县级以上人民政府及其部门等国家机关捐赠用于应对新型冠状病毒感染的肺炎疫情的现金和物品，或者企业和个人直接向承担疫情防治任务的医院捐赠用于应对新型冠状病毒感染的肺炎疫情的物品，允许在计算应纳税所得额时全额扣除。截止日期视疫情情况另行公告。</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截止日期视疫情情况另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2"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11</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《财政部 税务总局关于支持新型冠状病毒感染的肺炎疫情防控有关个人所得税政策的公告》（2020年第10号）</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lang w:val="en-US" w:eastAsia="zh-CN"/>
              </w:rPr>
              <w:t>1.</w:t>
            </w:r>
            <w:r>
              <w:rPr>
                <w:rFonts w:hint="eastAsia" w:ascii="仿宋_GB2312" w:hAnsi="Times New Roman" w:eastAsia="仿宋_GB2312"/>
                <w:sz w:val="24"/>
                <w:highlight w:val="none"/>
              </w:rPr>
              <w:t>对省级及省级以上人民政府规定的对参与疫情防控人员的临时性工作补助和奖金，免征个人所得税。</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lang w:val="en-US" w:eastAsia="zh-CN"/>
              </w:rPr>
              <w:t>2.</w:t>
            </w:r>
            <w:r>
              <w:rPr>
                <w:rFonts w:hint="eastAsia" w:ascii="仿宋_GB2312" w:hAnsi="Times New Roman" w:eastAsia="仿宋_GB2312"/>
                <w:sz w:val="24"/>
                <w:highlight w:val="none"/>
              </w:rPr>
              <w:t>自2020年1月1日起，单位发给个人用于预防新型冠状病毒感染的肺炎的药品、医疗用品和防护用品等实物（不包括现金），不计入工资、薪金收入，免征个人所得税。上述政策截止日期视疫情情况另行公告。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12</w:t>
            </w:r>
          </w:p>
        </w:tc>
        <w:tc>
          <w:tcPr>
            <w:tcW w:w="5211"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《财政部</w:t>
            </w:r>
            <w:r>
              <w:rPr>
                <w:rFonts w:hint="eastAsia" w:ascii="仿宋_GB2312" w:hAnsi="Times New Roman" w:eastAsia="仿宋_GB2312"/>
                <w:sz w:val="24"/>
                <w:highlight w:val="none"/>
                <w:lang w:val="en-US" w:eastAsia="zh-CN"/>
              </w:rPr>
              <w:t xml:space="preserve"> </w:t>
            </w:r>
            <w:r>
              <w:rPr>
                <w:rFonts w:hint="eastAsia" w:ascii="仿宋_GB2312" w:hAnsi="Times New Roman" w:eastAsia="仿宋_GB2312"/>
                <w:sz w:val="24"/>
                <w:highlight w:val="none"/>
              </w:rPr>
              <w:t>税务总局关于支持个体工商户复工复业增值税政策的公告》（</w:t>
            </w:r>
            <w:r>
              <w:rPr>
                <w:rFonts w:ascii="仿宋_GB2312" w:hAnsi="Times New Roman" w:eastAsia="仿宋_GB2312"/>
                <w:sz w:val="24"/>
                <w:highlight w:val="none"/>
              </w:rPr>
              <w:t>2020</w:t>
            </w:r>
            <w:r>
              <w:rPr>
                <w:rFonts w:hint="eastAsia" w:ascii="仿宋_GB2312" w:hAnsi="Times New Roman" w:eastAsia="仿宋_GB2312"/>
                <w:sz w:val="24"/>
                <w:highlight w:val="none"/>
              </w:rPr>
              <w:t>年第</w:t>
            </w:r>
            <w:r>
              <w:rPr>
                <w:rFonts w:ascii="仿宋_GB2312" w:hAnsi="Times New Roman" w:eastAsia="仿宋_GB2312"/>
                <w:sz w:val="24"/>
                <w:highlight w:val="none"/>
              </w:rPr>
              <w:t>13</w:t>
            </w:r>
            <w:r>
              <w:rPr>
                <w:rFonts w:hint="eastAsia" w:ascii="仿宋_GB2312" w:hAnsi="Times New Roman" w:eastAsia="仿宋_GB2312"/>
                <w:sz w:val="24"/>
                <w:highlight w:val="none"/>
              </w:rPr>
              <w:t>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1.自2020年3月1日至5月31日，对湖北省增值税小规模纳税人，适用3%征收率的应税销售收入，免征增值税；适用3%预征率的预缴增值税项目，暂停预缴增值税。</w:t>
            </w:r>
          </w:p>
          <w:p>
            <w:pPr>
              <w:jc w:val="left"/>
              <w:rPr>
                <w:rFonts w:ascii="仿宋_GB2312" w:hAnsi="Times New Roman" w:eastAsia="仿宋_GB2312"/>
                <w:sz w:val="24"/>
                <w:highlight w:val="none"/>
              </w:rPr>
            </w:pPr>
            <w:r>
              <w:rPr>
                <w:rFonts w:hint="eastAsia" w:ascii="仿宋_GB2312" w:hAnsi="Times New Roman" w:eastAsia="仿宋_GB2312"/>
                <w:sz w:val="24"/>
                <w:highlight w:val="none"/>
              </w:rPr>
              <w:t>2.除湖北省外，其他省、自治区、直辖市的增值税小规模纳税人，适用3%征收率的应税销售收入，减按1%征收率征收增值税；适用3%预征率的预缴增值税项目，减按1%预征率预缴增值税。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13</w:t>
            </w:r>
          </w:p>
        </w:tc>
        <w:tc>
          <w:tcPr>
            <w:tcW w:w="5211" w:type="dxa"/>
            <w:vAlign w:val="center"/>
          </w:tcPr>
          <w:p>
            <w:pPr>
              <w:jc w:val="left"/>
              <w:rPr>
                <w:rFonts w:hint="eastAsia" w:ascii="仿宋_GB2312" w:hAnsi="Times New Roman" w:eastAsia="仿宋_GB2312"/>
                <w:sz w:val="24"/>
                <w:highlight w:val="none"/>
                <w:u w:val="none"/>
              </w:rPr>
            </w:pPr>
            <w:r>
              <w:rPr>
                <w:rFonts w:hint="eastAsia" w:ascii="仿宋_GB2312" w:hAnsi="Times New Roman" w:eastAsia="仿宋_GB2312"/>
                <w:sz w:val="24"/>
                <w:highlight w:val="none"/>
                <w:u w:val="none"/>
              </w:rPr>
              <w:t>《关于继续实施物流企业大宗商品仓储设施用地城镇土地使用税优惠政策的公告》（财政部 税务总局公告2020年第16号）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1.自2020年1月1日起至2022年12月31日止，对物流企业自有（包括自用和出租）或承租的大宗商品仓储设施用地，减按所属土地等级适用税额标准的50%计征城镇土地使用税。</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2.本公告印发之日前已缴纳的应予减征的税款，在纳税人以后应缴税款中抵减或者予以退还。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14</w:t>
            </w:r>
          </w:p>
        </w:tc>
        <w:tc>
          <w:tcPr>
            <w:tcW w:w="5211" w:type="dxa"/>
            <w:vAlign w:val="center"/>
          </w:tcPr>
          <w:p>
            <w:pPr>
              <w:jc w:val="left"/>
              <w:rPr>
                <w:rFonts w:hint="eastAsia" w:ascii="仿宋_GB2312" w:hAnsi="Times New Roman" w:eastAsia="仿宋_GB2312"/>
                <w:bCs/>
                <w:sz w:val="24"/>
                <w:highlight w:val="none"/>
                <w:u w:val="none"/>
                <w:lang w:val="en-US" w:eastAsia="zh-CN"/>
              </w:rPr>
            </w:pPr>
            <w:r>
              <w:rPr>
                <w:rFonts w:hint="eastAsia" w:ascii="仿宋_GB2312" w:hAnsi="Times New Roman" w:eastAsia="仿宋_GB2312"/>
                <w:sz w:val="24"/>
                <w:highlight w:val="none"/>
                <w:u w:val="none"/>
                <w:lang w:val="en-US" w:eastAsia="zh-CN"/>
              </w:rPr>
              <w:t>《财政支持新冠肺炎疫情防控政策措施问答》</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财政部从政策受益者和政策落实者角度，分类梳理了出台的政策措施，形成了《财政支持新冠肺炎疫情防控政策措施问答》，以帮助社会各界准确掌握和及时适用财政支持疫情防控政策措施。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15</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《国家税务总局关于支持新型冠状病毒感染的肺炎疫情防控有关税收征收管理事项的公告》（国家税务总局公告2020年第4号）</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重点对财政部税务总局公告2020年第8号、财政部税务总局公告2020年第9号出台的相关税收优惠政策的征收管理进行了细化，并明确纳税人适用财政部税务总局2020年第8号公告有关规定享受免征增值税优惠的收入，相应免征城市维护建设税、教育费附加、地方教育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16</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《国家税务总局关于支持个体工商户复工复业等税收征收管理事项的公告》（国家税务总局公告2020年第5号）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增值税小规模纳税人取得应税销售收入，纳税义务发生时间在2020年2月底以前，适用3%征收率征收增值税的，按照3%征收率开具增值税发票；纳税义务发生时间在2020年3月1日至5月31日，适用减按1%征收率征收增值税的，按照1%征收率开具增值税发票。</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2.自2020年3月1日至5月31日，对湖北省境内的个体工商户、个人独资企业和合伙企业，代开货物运输服务增值税发票时，暂不预征个人所得税；对其他地区的上述纳税人统一按代开发票金额的0.5%预征个人所得税。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17</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《国家税务总局关于延长2020年3月纳税申报期限有关事项的通知》（税总函〔2020〕37号）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1.对按月申报的纳税人，在全国范围内将纳税申报期限由3月16日延长至3月23日；对3月23日仍处于疫情防控一级响应的地区，可再适当延长纳税申报期限，由省税务局依法按规定明确适用范围和截止日期。</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2.纳税人受疫情影响，在2020年3月份纳税申报期限内办理申报仍有困难的，可以依法向税务机关申请办理延期申报。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18</w:t>
            </w:r>
          </w:p>
        </w:tc>
        <w:tc>
          <w:tcPr>
            <w:tcW w:w="5211"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《关于延长2019年度代扣代收代征税款手续费申报期限的通知》（税总函〔2020〕43号）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延长2019年度代扣代缴、代收代缴和委托代征税款手续费申报期限，由2020年3月30日延长至5月30日。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19</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《中国人民银行 财政部 银保监会 证监会 国家外汇管理局关于进一步强化金融支持防控新型冠状病毒感染肺炎疫情的通知》（银发〔2020 〕29 号）</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各级政府性融资担保再担保机构应取消反担保要求，降低担保和再担保费。对受疫情影响严重地区的融资担保再担保机构，国家融资担保基金减半收取再担保费。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4"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20</w:t>
            </w:r>
          </w:p>
        </w:tc>
        <w:tc>
          <w:tcPr>
            <w:tcW w:w="5211"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《银保监会 人民银行 发展改革委 工业和信息化部 财政部关于对中小微企业贷款实施临时性延期还本付息的通知》（银保监发〔2020〕6号）及新闻发布会解读</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关于贷款到期本金安排。对于2020年1月25日以来到期的困难中小微企业（含小微企业主、个体工商户）贷款本金，银行业金融机构应根据企业延期还本申请，结合企业受疫情影响情况和经营状况，通过贷款展期、续贷等方式，给予企业一定期限的临时性延期还本安排。还本日期最长可延至2020年6月30日。对于少数受疫情影响严重、恢复周期较长且发展前景良好的中小微企业，银行业金融机构可根据实际情况与企业协商确定另外的延期安排。</w:t>
            </w:r>
          </w:p>
          <w:p>
            <w:pPr>
              <w:jc w:val="left"/>
              <w:rPr>
                <w:rFonts w:ascii="仿宋_GB2312" w:hAnsi="Times New Roman" w:eastAsia="仿宋_GB2312"/>
                <w:sz w:val="24"/>
                <w:highlight w:val="none"/>
              </w:rPr>
            </w:pPr>
            <w:r>
              <w:rPr>
                <w:rFonts w:hint="eastAsia" w:ascii="仿宋_GB2312" w:hAnsi="Times New Roman" w:eastAsia="仿宋_GB2312"/>
                <w:sz w:val="24"/>
                <w:highlight w:val="none"/>
              </w:rPr>
              <w:t>2.关于贷款利息支付安排。对于2020年1月25日至6月30日中小微企业需支付的贷款利息，银行业金融机构应根据企业延期付息申请，结合其受疫情影响的实际情况，给予企业一定期限的延期付息安排。贷款付息日期最长可延至2020年6月30日，免收罚息。</w:t>
            </w:r>
          </w:p>
          <w:p>
            <w:pPr>
              <w:jc w:val="left"/>
              <w:rPr>
                <w:rFonts w:ascii="仿宋_GB2312" w:hAnsi="Times New Roman" w:eastAsia="仿宋_GB2312"/>
                <w:sz w:val="24"/>
                <w:highlight w:val="none"/>
              </w:rPr>
            </w:pPr>
            <w:r>
              <w:rPr>
                <w:rFonts w:hint="eastAsia" w:ascii="仿宋_GB2312" w:hAnsi="Times New Roman" w:eastAsia="仿宋_GB2312"/>
                <w:sz w:val="24"/>
                <w:highlight w:val="none"/>
              </w:rPr>
              <w:t>3.关于湖北地区特殊安排。湖北地区各类企业适用上述政策。银行业金融机构应为湖北地区配备专项信贷规模，实施内部资金转移定价优惠，力争2020年普惠型小微企业综合融资成本较上年平均水平降低1个百分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21</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《中国银保监会办公厅关于进一步做好疫情防控金融服务的通知》（银保监办发〔2020〕15号）</w:t>
            </w:r>
          </w:p>
        </w:tc>
        <w:tc>
          <w:tcPr>
            <w:tcW w:w="6877" w:type="dxa"/>
            <w:vAlign w:val="center"/>
          </w:tcPr>
          <w:p>
            <w:pPr>
              <w:numPr>
                <w:numId w:val="0"/>
              </w:num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全力支持疫情防控企业扩大产能。紧紧围绕疫情防控需求，全力做好治疗药物、疫苗研发等卫生医疗重点领域，以及重要物资生产、运输物流等相关企业的融资支持。用足用好中央政策，专设机制、充分授权、主动对接，降低融资成本，提供优惠利率和优质金融服务，支持企业恢复产能和扩大生产。鼓励保险机构结合自身情况，为身处疫情防控一线的工作人员提供意外、健康、养老、医疗等优惠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22</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《中国银保监会办公厅关于加强产业链协同复工复产金融服务的通知》（银保监办发〔2020〕28号）</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人身保险公司在风险可控的前提下可适度延长保单质押贷款期限，提升贷款额度，帮助客户缓解短期资金压力，支持小微企业复工复产。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2"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23</w:t>
            </w:r>
          </w:p>
        </w:tc>
        <w:tc>
          <w:tcPr>
            <w:tcW w:w="5211" w:type="dxa"/>
            <w:vAlign w:val="center"/>
          </w:tcPr>
          <w:p>
            <w:pPr>
              <w:pStyle w:val="5"/>
              <w:widowControl/>
              <w:spacing w:before="0" w:beforeAutospacing="0" w:after="0" w:afterAutospacing="0"/>
              <w:ind w:left="0" w:right="0"/>
              <w:jc w:val="left"/>
              <w:rPr>
                <w:rFonts w:hint="eastAsia" w:ascii="仿宋_GB2312" w:hAnsi="Times New Roman" w:eastAsia="仿宋_GB2312"/>
                <w:sz w:val="24"/>
                <w:highlight w:val="none"/>
              </w:rPr>
            </w:pPr>
            <w:r>
              <w:rPr>
                <w:rFonts w:hint="eastAsia" w:ascii="仿宋_GB2312" w:hAnsi="Times New Roman" w:eastAsia="仿宋_GB2312" w:cs="Times New Roman"/>
                <w:kern w:val="2"/>
                <w:sz w:val="24"/>
                <w:szCs w:val="24"/>
                <w:highlight w:val="none"/>
                <w:lang w:val="en-US" w:eastAsia="zh-CN" w:bidi="ar-SA"/>
              </w:rPr>
              <w:t>《国家发展改革委办公厅关于提供疫情防控重点保障物资具体范围的函》（发改办财金〔2020〕145号）</w:t>
            </w:r>
          </w:p>
        </w:tc>
        <w:tc>
          <w:tcPr>
            <w:tcW w:w="6877" w:type="dxa"/>
            <w:vAlign w:val="center"/>
          </w:tcPr>
          <w:p>
            <w:pPr>
              <w:pStyle w:val="5"/>
              <w:widowControl/>
              <w:spacing w:before="0" w:beforeAutospacing="0" w:after="0" w:afterAutospacing="0"/>
              <w:ind w:left="0" w:right="0"/>
              <w:jc w:val="left"/>
              <w:rPr>
                <w:rFonts w:hint="eastAsia" w:ascii="仿宋_GB2312" w:hAnsi="Times New Roman" w:eastAsia="仿宋_GB2312"/>
                <w:sz w:val="24"/>
                <w:highlight w:val="none"/>
              </w:rPr>
            </w:pPr>
            <w:r>
              <w:rPr>
                <w:rFonts w:hint="eastAsia" w:ascii="仿宋_GB2312" w:hAnsi="Times New Roman" w:eastAsia="仿宋_GB2312" w:cs="Times New Roman"/>
                <w:kern w:val="2"/>
                <w:sz w:val="24"/>
                <w:szCs w:val="24"/>
                <w:highlight w:val="none"/>
                <w:lang w:val="en-US" w:eastAsia="zh-CN" w:bidi="ar-SA"/>
              </w:rPr>
              <w:t>根据《关于支持新型冠状病毒感染的肺炎疫情防控有关税收政策的公告》（财政部、税务总局公告2020年第8号）相关要求，确定了疫情防控重点保障物资中生活物资和部分医疗应急物资的具体范围清单，涉及粮食和物资储备的主要有：帐篷、棉被、棉大衣、折叠床等救灾物资；</w:t>
            </w:r>
            <w:r>
              <w:rPr>
                <w:rFonts w:hint="default" w:ascii="仿宋_GB2312" w:hAnsi="Times New Roman" w:eastAsia="仿宋_GB2312" w:cs="Times New Roman"/>
                <w:kern w:val="2"/>
                <w:sz w:val="24"/>
                <w:szCs w:val="24"/>
                <w:highlight w:val="none"/>
                <w:lang w:val="en-US" w:eastAsia="zh-CN" w:bidi="ar-SA"/>
              </w:rPr>
              <w:t>疫情防控期间市场需要重点保供的粮食、食用油、食盐、糖，以及蔬菜、肉蛋奶、水产品等“菜篮子”产品，方便和速冻食 品等重要生活必需品。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24</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《国家发展改革委办公厅关于疫情防控期间采取支持性两部制电价政策 降低企业用电成本的通知》（发改办价格〔2020〕110号）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对疫情防控期间暂不能正常开工、复工的企业，放宽容（需）量电价计费方式变更周期和减容（暂停）期限，电力用户即日可申请减容、暂停、减容恢复、暂停恢复。申请变更的用户不受“暂停用电不得小于15天”等条件限制，减免收取容（需）量电费。对于疫情发生以来停工、停产的企业，可适当追溯减免时间。</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2.对因满足疫情防控需要扩大产能的企业，原选择按合同最大需量方式缴纳容（需）量电费的，实际最大用量不受合同最大需量限制，超过部分按实计取。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25</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《国家发展改革委关于阶段性降低非居民用气成本支持企业复工复产的通知》（发改价格〔2020〕257号）</w:t>
            </w:r>
          </w:p>
        </w:tc>
        <w:tc>
          <w:tcPr>
            <w:tcW w:w="6877"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非居民用气门站价格提前执行淡季价格政策。天然气生产经营企业要提前执行淡季价格，自本通知印发之日起，对执行政府指导价的非居民用气，要以基准门站价格为基础适当下浮，尽可能降低价格水平；对价格已放开的非居民用气，鼓励天然气生产经营企业根据市场形势与下游用气企业充分协商沟通，降低价格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26</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lang w:val="en-US" w:eastAsia="zh-CN"/>
              </w:rPr>
              <w:t>《国家发展改革委关于阶段性减免部分征信</w:t>
            </w:r>
            <w:r>
              <w:rPr>
                <w:rFonts w:hint="eastAsia" w:ascii="仿宋_GB2312" w:hAnsi="Times New Roman" w:eastAsia="仿宋_GB2312"/>
                <w:sz w:val="24"/>
                <w:highlight w:val="none"/>
              </w:rPr>
              <w:t>服务收费的通知</w:t>
            </w:r>
            <w:r>
              <w:rPr>
                <w:rFonts w:hint="eastAsia" w:ascii="仿宋_GB2312" w:hAnsi="Times New Roman" w:eastAsia="仿宋_GB2312"/>
                <w:sz w:val="24"/>
                <w:highlight w:val="none"/>
                <w:lang w:val="en-US" w:eastAsia="zh-CN"/>
              </w:rPr>
              <w:t>》（</w:t>
            </w:r>
            <w:r>
              <w:rPr>
                <w:rFonts w:hint="eastAsia" w:ascii="仿宋_GB2312" w:hAnsi="Times New Roman" w:eastAsia="仿宋_GB2312"/>
                <w:sz w:val="24"/>
                <w:highlight w:val="none"/>
              </w:rPr>
              <w:t>发改价格〔2020〕291号</w:t>
            </w:r>
            <w:r>
              <w:rPr>
                <w:rFonts w:hint="eastAsia" w:ascii="仿宋_GB2312" w:hAnsi="Times New Roman" w:eastAsia="仿宋_GB2312"/>
                <w:sz w:val="24"/>
                <w:highlight w:val="none"/>
                <w:lang w:val="en-US" w:eastAsia="zh-CN"/>
              </w:rPr>
              <w:t>）</w:t>
            </w:r>
          </w:p>
          <w:p>
            <w:pPr>
              <w:jc w:val="left"/>
              <w:rPr>
                <w:rFonts w:hint="eastAsia" w:ascii="仿宋_GB2312" w:hAnsi="Times New Roman" w:eastAsia="仿宋_GB2312"/>
                <w:sz w:val="24"/>
                <w:highlight w:val="none"/>
              </w:rPr>
            </w:pPr>
          </w:p>
          <w:p>
            <w:pPr>
              <w:widowControl/>
              <w:spacing w:before="0" w:beforeAutospacing="0" w:after="0" w:afterAutospacing="0"/>
              <w:ind w:left="0" w:right="0"/>
              <w:jc w:val="left"/>
            </w:pPr>
          </w:p>
          <w:p>
            <w:pPr>
              <w:jc w:val="left"/>
              <w:rPr>
                <w:rFonts w:hint="eastAsia" w:ascii="仿宋_GB2312" w:hAnsi="Times New Roman" w:eastAsia="仿宋_GB2312"/>
                <w:sz w:val="24"/>
                <w:highlight w:val="none"/>
              </w:rPr>
            </w:pPr>
          </w:p>
        </w:tc>
        <w:tc>
          <w:tcPr>
            <w:tcW w:w="6877" w:type="dxa"/>
            <w:vAlign w:val="center"/>
          </w:tcPr>
          <w:p>
            <w:pPr>
              <w:jc w:val="left"/>
              <w:rPr>
                <w:rStyle w:val="10"/>
                <w:rFonts w:hint="eastAsia" w:ascii="仿宋_GB2312" w:hAnsi="Times New Roman" w:eastAsia="仿宋_GB2312"/>
                <w:sz w:val="24"/>
                <w:szCs w:val="22"/>
                <w:highlight w:val="none"/>
              </w:rPr>
            </w:pPr>
            <w:r>
              <w:rPr>
                <w:rFonts w:hint="eastAsia" w:ascii="仿宋_GB2312" w:hAnsi="Times New Roman" w:eastAsia="仿宋_GB2312"/>
                <w:sz w:val="24"/>
                <w:highlight w:val="none"/>
                <w:lang w:val="en-US" w:eastAsia="zh-CN"/>
              </w:rPr>
              <w:t>1.免收企业应收账款质押登记、变更登记、异议登记费。</w:t>
            </w:r>
            <w:r>
              <w:rPr>
                <w:rFonts w:hint="eastAsia" w:ascii="仿宋_GB2312" w:hAnsi="Times New Roman" w:eastAsia="仿宋_GB2312"/>
                <w:sz w:val="24"/>
                <w:highlight w:val="none"/>
                <w:lang w:val="en-US" w:eastAsia="zh-CN"/>
              </w:rPr>
              <w:br/>
            </w:r>
            <w:r>
              <w:rPr>
                <w:rFonts w:hint="eastAsia" w:ascii="仿宋_GB2312" w:hAnsi="Times New Roman" w:eastAsia="仿宋_GB2312"/>
                <w:sz w:val="24"/>
                <w:highlight w:val="none"/>
                <w:lang w:val="en-US" w:eastAsia="zh-CN"/>
              </w:rPr>
              <w:t>2.免收农村商业银行、农村合作银行、农村信用社、村镇银行、小额贷款公司、消费金融公司、融资租赁公司、融资性担保公司、民营银行、独立法人直销银行等10类金融机构征信查询服务费，包括查询企业信用报告和个人信用报告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rPr>
            </w:pPr>
            <w:r>
              <w:rPr>
                <w:rFonts w:hint="eastAsia" w:ascii="仿宋_GB2312" w:hAnsi="Times New Roman" w:eastAsia="仿宋_GB2312"/>
                <w:bCs/>
                <w:sz w:val="24"/>
                <w:highlight w:val="none"/>
                <w:lang w:val="en-US" w:eastAsia="zh-CN"/>
              </w:rPr>
              <w:t>27</w:t>
            </w:r>
          </w:p>
        </w:tc>
        <w:tc>
          <w:tcPr>
            <w:tcW w:w="5211"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《关于阶段性减免企业社会保险费的通知》（人社部发〔2020〕11号）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自2020年2月起，各省、自治区、直辖市（除湖北省外）及新疆生产建设兵团（以下统称省）可根据受疫情影响情况和基金承受能力，免征中小微企业三项社会保险单位缴费部分，免征期限不超过5个月。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28</w:t>
            </w:r>
          </w:p>
        </w:tc>
        <w:tc>
          <w:tcPr>
            <w:tcW w:w="5211" w:type="dxa"/>
            <w:vAlign w:val="center"/>
          </w:tcPr>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《人力资源社会保障部办公厅关于进一步推进失业保险金“畅通领、安全办”的通知》（人社厅发〔2020〕24号）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对领取失业保险金期满仍未就业且距离法定退休年龄不足1年的失业人员，可继续发放失业保险金直至法定退休年龄，实施时间自2019年12月起。失业人员的领金期限、就业失业状态、法定退休年龄可通过失业保险参保缴费记录、身份证信息等内部信息比对确定。续发失业保险金无需个人提出申请，失业人员按照规定同时享受代缴基本医疗保险费等其他失业保险待遇。</w:t>
            </w:r>
          </w:p>
          <w:p>
            <w:pPr>
              <w:jc w:val="left"/>
              <w:rPr>
                <w:rFonts w:hint="eastAsia" w:ascii="仿宋_GB2312" w:hAnsi="Times New Roman" w:eastAsia="仿宋_GB2312"/>
                <w:sz w:val="24"/>
                <w:highlight w:val="none"/>
              </w:rPr>
            </w:pPr>
            <w:r>
              <w:rPr>
                <w:rFonts w:hint="eastAsia" w:ascii="仿宋_GB2312" w:hAnsi="Times New Roman" w:eastAsia="仿宋_GB2312"/>
                <w:sz w:val="24"/>
                <w:highlight w:val="none"/>
              </w:rPr>
              <w:t>2.对超过法定退休年龄但尚未依法享受基本养老保险待遇的参保失业人员，经办机构应在其办理失业登记后，按规定发放失业保险金。失业人员申领失业保险金，经办机构应当同时为其办理失业登记和失业保险金发放，实行“一门、一窗”办理，避免“进多个门，跑多次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42" w:type="dxa"/>
            <w:vAlign w:val="center"/>
          </w:tcPr>
          <w:p>
            <w:pPr>
              <w:jc w:val="center"/>
              <w:rPr>
                <w:rFonts w:hint="default" w:ascii="仿宋_GB2312" w:hAnsi="Times New Roman" w:eastAsia="仿宋_GB2312"/>
                <w:bCs/>
                <w:sz w:val="24"/>
                <w:highlight w:val="none"/>
                <w:lang w:val="en-US" w:eastAsia="zh-CN"/>
              </w:rPr>
            </w:pPr>
            <w:r>
              <w:rPr>
                <w:rFonts w:hint="eastAsia" w:ascii="仿宋_GB2312" w:hAnsi="Times New Roman" w:eastAsia="仿宋_GB2312"/>
                <w:bCs/>
                <w:sz w:val="24"/>
                <w:highlight w:val="none"/>
                <w:lang w:val="en-US" w:eastAsia="zh-CN"/>
              </w:rPr>
              <w:t>29</w:t>
            </w:r>
          </w:p>
        </w:tc>
        <w:tc>
          <w:tcPr>
            <w:tcW w:w="5211"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《关于阶段性减征职工基本医疗保险费的指导意见》（医保发〔2020〕6号）</w:t>
            </w:r>
          </w:p>
        </w:tc>
        <w:tc>
          <w:tcPr>
            <w:tcW w:w="6877" w:type="dxa"/>
            <w:vAlign w:val="center"/>
          </w:tcPr>
          <w:p>
            <w:pPr>
              <w:jc w:val="left"/>
              <w:rPr>
                <w:rFonts w:ascii="仿宋_GB2312" w:hAnsi="Times New Roman" w:eastAsia="仿宋_GB2312"/>
                <w:sz w:val="24"/>
                <w:highlight w:val="none"/>
              </w:rPr>
            </w:pPr>
            <w:r>
              <w:rPr>
                <w:rFonts w:hint="eastAsia" w:ascii="仿宋_GB2312" w:hAnsi="Times New Roman" w:eastAsia="仿宋_GB2312"/>
                <w:sz w:val="24"/>
                <w:highlight w:val="none"/>
              </w:rPr>
              <w:t>1.自2020年2月起，各省、自治区、直辖市及新疆生产建设兵团（以下统称省）可指导统筹地区根据基金运行情况和实际工作需要，在确保基金收支中长期平衡的前提下，对职工医保单位缴费部分实行减半征收，减征期限不超过5个月。</w:t>
            </w:r>
          </w:p>
          <w:p>
            <w:pPr>
              <w:jc w:val="left"/>
              <w:rPr>
                <w:rFonts w:ascii="仿宋_GB2312" w:hAnsi="Times New Roman" w:eastAsia="仿宋_GB2312"/>
                <w:sz w:val="24"/>
                <w:highlight w:val="none"/>
              </w:rPr>
            </w:pPr>
            <w:r>
              <w:rPr>
                <w:rFonts w:hint="eastAsia" w:ascii="仿宋_GB2312" w:hAnsi="Times New Roman" w:eastAsia="仿宋_GB2312"/>
                <w:sz w:val="24"/>
                <w:highlight w:val="none"/>
              </w:rPr>
              <w:t>2.原则上，统筹基金累计结存可支付月数大于6个月的统筹地区，可实施减征；可支付月数小于6个月但确有必要减征的统筹地区，由各省指导统筹考虑安排。缓缴政策可继续执行，缓缴期限原则上不超过6个月，缓缴期间免收滞纳金。</w:t>
            </w:r>
          </w:p>
        </w:tc>
      </w:tr>
    </w:tbl>
    <w:p>
      <w:pPr>
        <w:jc w:val="center"/>
      </w:pPr>
    </w:p>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21C66"/>
    <w:rsid w:val="00060C07"/>
    <w:rsid w:val="00067715"/>
    <w:rsid w:val="0013085E"/>
    <w:rsid w:val="00220062"/>
    <w:rsid w:val="002B4CC3"/>
    <w:rsid w:val="00375A0E"/>
    <w:rsid w:val="004B0187"/>
    <w:rsid w:val="005852BD"/>
    <w:rsid w:val="005C3746"/>
    <w:rsid w:val="006B4FAE"/>
    <w:rsid w:val="006E4081"/>
    <w:rsid w:val="00711376"/>
    <w:rsid w:val="00721C66"/>
    <w:rsid w:val="00753254"/>
    <w:rsid w:val="00783AA7"/>
    <w:rsid w:val="007D26EF"/>
    <w:rsid w:val="008D3212"/>
    <w:rsid w:val="00A06214"/>
    <w:rsid w:val="00A17A85"/>
    <w:rsid w:val="00A73132"/>
    <w:rsid w:val="00B11926"/>
    <w:rsid w:val="00B74DAD"/>
    <w:rsid w:val="00CD668E"/>
    <w:rsid w:val="00CE08AF"/>
    <w:rsid w:val="00D9764B"/>
    <w:rsid w:val="00F07F3D"/>
    <w:rsid w:val="00F12CBB"/>
    <w:rsid w:val="00F30AC9"/>
    <w:rsid w:val="10C45C5A"/>
    <w:rsid w:val="1CF2064C"/>
    <w:rsid w:val="355816CB"/>
    <w:rsid w:val="65F569D5"/>
    <w:rsid w:val="65FD6187"/>
    <w:rsid w:val="6F99082C"/>
    <w:rsid w:val="74C442C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44"/>
      <w:sz w:val="48"/>
      <w:szCs w:val="48"/>
      <w:lang w:val="en-US" w:eastAsia="zh-CN"/>
    </w:rPr>
  </w:style>
  <w:style w:type="character" w:default="1" w:styleId="6">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rPr>
  </w:style>
  <w:style w:type="character" w:styleId="7">
    <w:name w:val="Strong"/>
    <w:basedOn w:val="6"/>
    <w:qFormat/>
    <w:uiPriority w:val="22"/>
    <w:rPr>
      <w:b/>
    </w:rPr>
  </w:style>
  <w:style w:type="character" w:styleId="8">
    <w:name w:val="FollowedHyperlink"/>
    <w:basedOn w:val="6"/>
    <w:unhideWhenUsed/>
    <w:uiPriority w:val="99"/>
    <w:rPr>
      <w:color w:val="800080"/>
      <w:u w:val="single"/>
    </w:rPr>
  </w:style>
  <w:style w:type="character" w:styleId="9">
    <w:name w:val="Emphasis"/>
    <w:basedOn w:val="6"/>
    <w:qFormat/>
    <w:uiPriority w:val="20"/>
    <w:rPr/>
  </w:style>
  <w:style w:type="character" w:styleId="10">
    <w:name w:val="Hyperlink"/>
    <w:basedOn w:val="6"/>
    <w:unhideWhenUsed/>
    <w:qFormat/>
    <w:uiPriority w:val="99"/>
    <w:rPr>
      <w:color w:val="0000FF"/>
      <w:u w:val="single"/>
    </w:rPr>
  </w:style>
  <w:style w:type="character" w:customStyle="1" w:styleId="12">
    <w:name w:val="selected"/>
    <w:basedOn w:val="6"/>
    <w:uiPriority w:val="0"/>
    <w:rPr/>
  </w:style>
  <w:style w:type="character" w:customStyle="1" w:styleId="13">
    <w:name w:val="after"/>
    <w:basedOn w:val="6"/>
    <w:uiPriority w:val="0"/>
    <w:rPr>
      <w:vanish/>
    </w:rPr>
  </w:style>
  <w:style w:type="character" w:customStyle="1" w:styleId="14">
    <w:name w:val="after1"/>
    <w:basedOn w:val="6"/>
    <w:qFormat/>
    <w:uiPriority w:val="0"/>
    <w:rPr>
      <w:shd w:val="clear" w:color="000000" w:fill="D60000"/>
    </w:rPr>
  </w:style>
  <w:style w:type="character" w:customStyle="1" w:styleId="15">
    <w:name w:val="after2"/>
    <w:basedOn w:val="6"/>
    <w:uiPriority w:val="0"/>
    <w:rPr/>
  </w:style>
  <w:style w:type="character" w:customStyle="1" w:styleId="16">
    <w:name w:val="after3"/>
    <w:basedOn w:val="6"/>
    <w:uiPriority w:val="0"/>
    <w:rPr/>
  </w:style>
  <w:style w:type="character" w:customStyle="1" w:styleId="17">
    <w:name w:val="bsharetext"/>
    <w:basedOn w:val="6"/>
    <w:uiPriority w:val="0"/>
    <w:rPr/>
  </w:style>
  <w:style w:type="character" w:customStyle="1" w:styleId="18">
    <w:name w:val="nth-child(1)"/>
    <w:basedOn w:val="6"/>
    <w:uiPriority w:val="0"/>
    <w:rPr/>
  </w:style>
  <w:style w:type="character" w:customStyle="1" w:styleId="19">
    <w:name w:val="nth-child(2)1"/>
    <w:basedOn w:val="6"/>
    <w:uiPriority w:val="0"/>
    <w:rPr/>
  </w:style>
  <w:style w:type="character" w:customStyle="1" w:styleId="20">
    <w:name w:val="animate-fade"/>
    <w:basedOn w:val="6"/>
    <w:uiPriority w:val="0"/>
    <w:rPr/>
  </w:style>
  <w:style w:type="character" w:customStyle="1" w:styleId="21">
    <w:name w:val="animate-fade1"/>
    <w:basedOn w:val="6"/>
    <w:qFormat/>
    <w:uiPriority w:val="0"/>
    <w:rPr/>
  </w:style>
  <w:style w:type="character" w:customStyle="1" w:styleId="22">
    <w:name w:val="nth-child(3)1"/>
    <w:basedOn w:val="6"/>
    <w:qFormat/>
    <w:uiPriority w:val="0"/>
    <w:rPr/>
  </w:style>
  <w:style w:type="character" w:customStyle="1" w:styleId="23">
    <w:name w:val="nth-child(5)"/>
    <w:basedOn w:val="6"/>
    <w:qFormat/>
    <w:uiPriority w:val="0"/>
    <w:rPr/>
  </w:style>
  <w:style w:type="character" w:customStyle="1" w:styleId="24">
    <w:name w:val="nth-child(4)"/>
    <w:basedOn w:val="6"/>
    <w:qFormat/>
    <w:uiPriority w:val="0"/>
    <w:rPr/>
  </w:style>
  <w:style w:type="character" w:customStyle="1" w:styleId="25">
    <w:name w:val="leftindex"/>
    <w:basedOn w:val="6"/>
    <w:qFormat/>
    <w:uiPriority w:val="0"/>
    <w:rPr/>
  </w:style>
  <w:style w:type="character" w:customStyle="1" w:styleId="26">
    <w:name w:val="bg-box"/>
    <w:basedOn w:val="6"/>
    <w:uiPriority w:val="0"/>
    <w:rPr>
      <w:color w:val="FFFFFF"/>
      <w:sz w:val="21"/>
      <w:szCs w:val="21"/>
    </w:rPr>
  </w:style>
  <w:style w:type="character" w:customStyle="1" w:styleId="27">
    <w:name w:val="bg"/>
    <w:basedOn w:val="6"/>
    <w:uiPriority w:val="0"/>
    <w:rPr>
      <w:shd w:val="clear" w:color="000000" w:fill="000000"/>
    </w:rPr>
  </w:style>
  <w:style w:type="character" w:customStyle="1" w:styleId="28">
    <w:name w:val="rightdate"/>
    <w:basedOn w:val="6"/>
    <w:qFormat/>
    <w:uiPriority w:val="0"/>
    <w:rPr/>
  </w:style>
  <w:style w:type="character" w:customStyle="1" w:styleId="29">
    <w:name w:val="midtitle"/>
    <w:basedOn w:val="6"/>
    <w:qFormat/>
    <w:uiPriority w:val="0"/>
    <w:rPr/>
  </w:style>
  <w:style w:type="character" w:customStyle="1" w:styleId="30">
    <w:name w:val="hao1"/>
    <w:basedOn w:val="6"/>
    <w:qFormat/>
    <w:uiPriority w:val="0"/>
    <w:rPr>
      <w:b/>
    </w:rPr>
  </w:style>
  <w:style w:type="character" w:customStyle="1" w:styleId="31">
    <w:name w:val="wz"/>
    <w:basedOn w:val="6"/>
    <w:qFormat/>
    <w:uiPriority w:val="0"/>
    <w:rPr>
      <w:vanish/>
      <w:color w:val="808080"/>
    </w:rPr>
  </w:style>
  <w:style w:type="character" w:customStyle="1" w:styleId="32">
    <w:name w:val="hao12"/>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1737</Words>
  <Characters>9905</Characters>
  <Lines>82</Lines>
  <Paragraphs>23</Paragraphs>
  <ScaleCrop>false</ScaleCrop>
  <LinksUpToDate>false</LinksUpToDate>
  <CharactersWithSpaces>0</CharactersWithSpaces>
  <Application>WPS Office 专业版_9.1.0.4795_{F1E327BC-269C-435d-A152-05C5408002CA}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2020-04-16T01:25:00Z</dcterms:created>
  <dc:creator>DELL</dc:creator>
  <cp:lastModifiedBy>张雷</cp:lastModifiedBy>
  <cp:lastPrinted>2020-04-20T03:38:11Z</cp:lastPrinted>
  <dcterms:modified xsi:type="dcterms:W3CDTF">2020-04-20T03:41:22Z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2052-9.1.0.4795</vt:lpwstr>
  </property>
</Properties>
</file>